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6355F" w:rsidRPr="003C68D0" w:rsidRDefault="00465D88" w:rsidP="00724358">
      <w:pPr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En première partie, l’é</w:t>
      </w:r>
      <w:r w:rsidRPr="003C68D0">
        <w:rPr>
          <w:rFonts w:asciiTheme="majorBidi" w:hAnsiTheme="majorBidi" w:cstheme="majorBidi"/>
        </w:rPr>
        <w:t>tud</w:t>
      </w:r>
      <w:r>
        <w:rPr>
          <w:rFonts w:asciiTheme="majorBidi" w:hAnsiTheme="majorBidi" w:cstheme="majorBidi"/>
        </w:rPr>
        <w:t>e de</w:t>
      </w:r>
      <w:r w:rsidR="003C68D0" w:rsidRPr="003C68D0">
        <w:rPr>
          <w:rFonts w:asciiTheme="majorBidi" w:hAnsiTheme="majorBidi" w:cstheme="majorBidi"/>
        </w:rPr>
        <w:t xml:space="preserve"> l'effet de </w:t>
      </w:r>
      <w:r>
        <w:rPr>
          <w:rFonts w:asciiTheme="majorBidi" w:hAnsiTheme="majorBidi" w:cstheme="majorBidi"/>
        </w:rPr>
        <w:t>l’As</w:t>
      </w:r>
      <w:r w:rsidRPr="00C71DCD">
        <w:rPr>
          <w:rFonts w:asciiTheme="majorBidi" w:hAnsiTheme="majorBidi" w:cstheme="majorBidi"/>
          <w:vertAlign w:val="subscript"/>
        </w:rPr>
        <w:t>2</w:t>
      </w:r>
      <w:r>
        <w:rPr>
          <w:rFonts w:asciiTheme="majorBidi" w:hAnsiTheme="majorBidi" w:cstheme="majorBidi"/>
        </w:rPr>
        <w:t>O</w:t>
      </w:r>
      <w:r w:rsidRPr="00C71DCD">
        <w:rPr>
          <w:rFonts w:asciiTheme="majorBidi" w:hAnsiTheme="majorBidi" w:cstheme="majorBidi"/>
          <w:vertAlign w:val="subscript"/>
        </w:rPr>
        <w:t>3</w:t>
      </w:r>
      <w:r>
        <w:rPr>
          <w:rFonts w:asciiTheme="majorBidi" w:hAnsiTheme="majorBidi" w:cstheme="majorBidi"/>
        </w:rPr>
        <w:t xml:space="preserve"> et </w:t>
      </w:r>
      <w:r w:rsidR="003C68D0" w:rsidRPr="003C68D0">
        <w:rPr>
          <w:rFonts w:asciiTheme="majorBidi" w:hAnsiTheme="majorBidi" w:cstheme="majorBidi"/>
        </w:rPr>
        <w:t>du</w:t>
      </w:r>
      <w:r>
        <w:rPr>
          <w:rFonts w:asciiTheme="majorBidi" w:hAnsiTheme="majorBidi" w:cstheme="majorBidi"/>
        </w:rPr>
        <w:t xml:space="preserve"> </w:t>
      </w:r>
      <w:r w:rsidR="003C68D0" w:rsidRPr="003C68D0">
        <w:rPr>
          <w:rFonts w:asciiTheme="majorBidi" w:hAnsiTheme="majorBidi" w:cstheme="majorBidi"/>
        </w:rPr>
        <w:t>NaAsO</w:t>
      </w:r>
      <w:r w:rsidR="003C68D0" w:rsidRPr="00C71DCD">
        <w:rPr>
          <w:rFonts w:asciiTheme="majorBidi" w:hAnsiTheme="majorBidi" w:cstheme="majorBidi"/>
          <w:vertAlign w:val="subscript"/>
        </w:rPr>
        <w:t>2</w:t>
      </w:r>
      <w:r w:rsidR="003C68D0" w:rsidRPr="003C68D0">
        <w:rPr>
          <w:rFonts w:asciiTheme="majorBidi" w:hAnsiTheme="majorBidi" w:cstheme="majorBidi"/>
        </w:rPr>
        <w:t xml:space="preserve"> </w:t>
      </w:r>
      <w:r w:rsidR="003C68D0" w:rsidRPr="003C68D0">
        <w:rPr>
          <w:rFonts w:asciiTheme="majorBidi" w:hAnsiTheme="majorBidi" w:cstheme="majorBidi"/>
        </w:rPr>
        <w:t>sur l'induction de la mort cellulaire</w:t>
      </w:r>
      <w:r>
        <w:rPr>
          <w:rFonts w:asciiTheme="majorBidi" w:hAnsiTheme="majorBidi" w:cstheme="majorBidi"/>
        </w:rPr>
        <w:t xml:space="preserve"> </w:t>
      </w:r>
      <w:r w:rsidR="00296006">
        <w:rPr>
          <w:rFonts w:asciiTheme="majorBidi" w:hAnsiTheme="majorBidi" w:cstheme="majorBidi"/>
        </w:rPr>
        <w:t>d</w:t>
      </w:r>
      <w:r>
        <w:rPr>
          <w:rFonts w:asciiTheme="majorBidi" w:hAnsiTheme="majorBidi" w:cstheme="majorBidi"/>
        </w:rPr>
        <w:t>es</w:t>
      </w:r>
      <w:r w:rsidR="003C68D0" w:rsidRPr="003C68D0">
        <w:rPr>
          <w:rFonts w:asciiTheme="majorBidi" w:hAnsiTheme="majorBidi" w:cstheme="majorBidi"/>
        </w:rPr>
        <w:t xml:space="preserve"> cellules P3HR1 </w:t>
      </w:r>
      <w:r>
        <w:rPr>
          <w:rFonts w:asciiTheme="majorBidi" w:hAnsiTheme="majorBidi" w:cstheme="majorBidi"/>
        </w:rPr>
        <w:t>a révélé que l</w:t>
      </w:r>
      <w:r w:rsidR="003C68D0" w:rsidRPr="003C68D0">
        <w:rPr>
          <w:rFonts w:asciiTheme="majorBidi" w:hAnsiTheme="majorBidi" w:cstheme="majorBidi"/>
        </w:rPr>
        <w:t xml:space="preserve">es deux composés ont induit une </w:t>
      </w:r>
      <w:r w:rsidR="003C68D0" w:rsidRPr="003C68D0">
        <w:rPr>
          <w:rFonts w:asciiTheme="majorBidi" w:hAnsiTheme="majorBidi" w:cstheme="majorBidi"/>
        </w:rPr>
        <w:t>cytotoxicité</w:t>
      </w:r>
      <w:r w:rsidR="00C71DCD">
        <w:rPr>
          <w:rFonts w:asciiTheme="majorBidi" w:hAnsiTheme="majorBidi" w:cstheme="majorBidi"/>
        </w:rPr>
        <w:t xml:space="preserve"> par</w:t>
      </w:r>
      <w:r w:rsidR="003C68D0" w:rsidRPr="003C68D0">
        <w:rPr>
          <w:rFonts w:asciiTheme="majorBidi" w:hAnsiTheme="majorBidi" w:cstheme="majorBidi"/>
        </w:rPr>
        <w:t xml:space="preserve"> autophagi</w:t>
      </w:r>
      <w:r w:rsidR="00C71DCD">
        <w:rPr>
          <w:rFonts w:asciiTheme="majorBidi" w:hAnsiTheme="majorBidi" w:cstheme="majorBidi"/>
        </w:rPr>
        <w:t>e et</w:t>
      </w:r>
      <w:r>
        <w:rPr>
          <w:rFonts w:asciiTheme="majorBidi" w:hAnsiTheme="majorBidi" w:cstheme="majorBidi"/>
        </w:rPr>
        <w:t xml:space="preserve"> </w:t>
      </w:r>
      <w:r w:rsidR="00296006">
        <w:rPr>
          <w:rFonts w:asciiTheme="majorBidi" w:hAnsiTheme="majorBidi" w:cstheme="majorBidi"/>
        </w:rPr>
        <w:t xml:space="preserve">par </w:t>
      </w:r>
      <w:r w:rsidR="00C71DCD" w:rsidRPr="003C68D0">
        <w:rPr>
          <w:rFonts w:asciiTheme="majorBidi" w:hAnsiTheme="majorBidi" w:cstheme="majorBidi"/>
        </w:rPr>
        <w:t>apoptose</w:t>
      </w:r>
      <w:r w:rsidR="00C71DCD">
        <w:rPr>
          <w:rFonts w:asciiTheme="majorBidi" w:hAnsiTheme="majorBidi" w:cstheme="majorBidi"/>
        </w:rPr>
        <w:t xml:space="preserve"> </w:t>
      </w:r>
      <w:r>
        <w:rPr>
          <w:rFonts w:asciiTheme="majorBidi" w:hAnsiTheme="majorBidi" w:cstheme="majorBidi"/>
        </w:rPr>
        <w:t>respectivement</w:t>
      </w:r>
      <w:r w:rsidR="003C68D0" w:rsidRPr="003C68D0">
        <w:rPr>
          <w:rFonts w:asciiTheme="majorBidi" w:hAnsiTheme="majorBidi" w:cstheme="majorBidi"/>
        </w:rPr>
        <w:t>.</w:t>
      </w:r>
      <w:r>
        <w:rPr>
          <w:rFonts w:asciiTheme="majorBidi" w:hAnsiTheme="majorBidi" w:cstheme="majorBidi"/>
        </w:rPr>
        <w:t xml:space="preserve"> L</w:t>
      </w:r>
      <w:r w:rsidR="003C68D0" w:rsidRPr="003C68D0">
        <w:rPr>
          <w:rFonts w:asciiTheme="majorBidi" w:hAnsiTheme="majorBidi" w:cstheme="majorBidi"/>
        </w:rPr>
        <w:t xml:space="preserve">e traitement par le </w:t>
      </w:r>
      <w:r w:rsidR="003C68D0" w:rsidRPr="003C68D0">
        <w:rPr>
          <w:rFonts w:asciiTheme="majorBidi" w:hAnsiTheme="majorBidi" w:cstheme="majorBidi"/>
        </w:rPr>
        <w:t>NaAsO</w:t>
      </w:r>
      <w:r w:rsidR="003C68D0" w:rsidRPr="00C71DCD">
        <w:rPr>
          <w:rFonts w:asciiTheme="majorBidi" w:hAnsiTheme="majorBidi" w:cstheme="majorBidi"/>
          <w:vertAlign w:val="subscript"/>
        </w:rPr>
        <w:t>2</w:t>
      </w:r>
      <w:r w:rsidR="003C68D0" w:rsidRPr="003C68D0">
        <w:rPr>
          <w:rFonts w:asciiTheme="majorBidi" w:hAnsiTheme="majorBidi" w:cstheme="majorBidi"/>
        </w:rPr>
        <w:t xml:space="preserve"> est</w:t>
      </w:r>
      <w:r>
        <w:rPr>
          <w:rFonts w:asciiTheme="majorBidi" w:hAnsiTheme="majorBidi" w:cstheme="majorBidi"/>
        </w:rPr>
        <w:t xml:space="preserve"> </w:t>
      </w:r>
      <w:r w:rsidR="00296006">
        <w:rPr>
          <w:rFonts w:asciiTheme="majorBidi" w:hAnsiTheme="majorBidi" w:cstheme="majorBidi"/>
        </w:rPr>
        <w:t>par ailleurs</w:t>
      </w:r>
      <w:r w:rsidR="003C68D0" w:rsidRPr="003C68D0">
        <w:rPr>
          <w:rFonts w:asciiTheme="majorBidi" w:hAnsiTheme="majorBidi" w:cstheme="majorBidi"/>
        </w:rPr>
        <w:t xml:space="preserve"> associé à une réactivation </w:t>
      </w:r>
      <w:r w:rsidR="00C71DCD">
        <w:rPr>
          <w:rFonts w:asciiTheme="majorBidi" w:hAnsiTheme="majorBidi" w:cstheme="majorBidi"/>
        </w:rPr>
        <w:t>virale</w:t>
      </w:r>
      <w:r>
        <w:rPr>
          <w:rFonts w:asciiTheme="majorBidi" w:hAnsiTheme="majorBidi" w:cstheme="majorBidi"/>
        </w:rPr>
        <w:t xml:space="preserve">. </w:t>
      </w:r>
      <w:r w:rsidR="003C68D0" w:rsidRPr="003C68D0">
        <w:rPr>
          <w:rFonts w:asciiTheme="majorBidi" w:hAnsiTheme="majorBidi" w:cstheme="majorBidi"/>
        </w:rPr>
        <w:t>En deuxième partie</w:t>
      </w:r>
      <w:r>
        <w:rPr>
          <w:rFonts w:asciiTheme="majorBidi" w:hAnsiTheme="majorBidi" w:cstheme="majorBidi"/>
        </w:rPr>
        <w:t>, l’exploration d</w:t>
      </w:r>
      <w:r w:rsidR="003C68D0" w:rsidRPr="003C68D0">
        <w:rPr>
          <w:rFonts w:asciiTheme="majorBidi" w:hAnsiTheme="majorBidi" w:cstheme="majorBidi"/>
        </w:rPr>
        <w:t xml:space="preserve">es processus métastatiques et angiogéniques NOS2 </w:t>
      </w:r>
      <w:r w:rsidR="00C71DCD" w:rsidRPr="003C68D0">
        <w:rPr>
          <w:rFonts w:asciiTheme="majorBidi" w:hAnsiTheme="majorBidi" w:cstheme="majorBidi"/>
        </w:rPr>
        <w:t>dépendants</w:t>
      </w:r>
      <w:r w:rsidR="00C71DCD" w:rsidRPr="003C68D0">
        <w:rPr>
          <w:rFonts w:asciiTheme="majorBidi" w:hAnsiTheme="majorBidi" w:cstheme="majorBidi"/>
        </w:rPr>
        <w:t xml:space="preserve"> </w:t>
      </w:r>
      <w:r w:rsidR="00C71DCD">
        <w:rPr>
          <w:rFonts w:asciiTheme="majorBidi" w:hAnsiTheme="majorBidi" w:cstheme="majorBidi"/>
        </w:rPr>
        <w:t xml:space="preserve">au cours </w:t>
      </w:r>
      <w:r w:rsidR="003C68D0" w:rsidRPr="003C68D0">
        <w:rPr>
          <w:rFonts w:asciiTheme="majorBidi" w:hAnsiTheme="majorBidi" w:cstheme="majorBidi"/>
        </w:rPr>
        <w:t>du NPC</w:t>
      </w:r>
      <w:r>
        <w:rPr>
          <w:rFonts w:asciiTheme="majorBidi" w:hAnsiTheme="majorBidi" w:cstheme="majorBidi"/>
        </w:rPr>
        <w:t xml:space="preserve"> a </w:t>
      </w:r>
      <w:r w:rsidR="00C71DCD">
        <w:rPr>
          <w:rFonts w:asciiTheme="majorBidi" w:hAnsiTheme="majorBidi" w:cstheme="majorBidi"/>
        </w:rPr>
        <w:t>révélé</w:t>
      </w:r>
      <w:r>
        <w:rPr>
          <w:rFonts w:asciiTheme="majorBidi" w:hAnsiTheme="majorBidi" w:cstheme="majorBidi"/>
        </w:rPr>
        <w:t xml:space="preserve"> que</w:t>
      </w:r>
      <w:r w:rsidR="003C68D0" w:rsidRPr="003C68D0">
        <w:rPr>
          <w:rFonts w:asciiTheme="majorBidi" w:hAnsiTheme="majorBidi" w:cstheme="majorBidi"/>
        </w:rPr>
        <w:t xml:space="preserve"> </w:t>
      </w:r>
      <w:r>
        <w:rPr>
          <w:rFonts w:asciiTheme="majorBidi" w:hAnsiTheme="majorBidi" w:cstheme="majorBidi"/>
        </w:rPr>
        <w:t>l</w:t>
      </w:r>
      <w:r w:rsidR="00C71DCD">
        <w:rPr>
          <w:rFonts w:asciiTheme="majorBidi" w:hAnsiTheme="majorBidi" w:cstheme="majorBidi"/>
        </w:rPr>
        <w:t>’activation</w:t>
      </w:r>
      <w:r w:rsidR="003C68D0" w:rsidRPr="003C68D0">
        <w:rPr>
          <w:rFonts w:asciiTheme="majorBidi" w:hAnsiTheme="majorBidi" w:cstheme="majorBidi"/>
        </w:rPr>
        <w:t xml:space="preserve"> de la</w:t>
      </w:r>
      <w:r w:rsidR="003C68D0" w:rsidRPr="003C68D0">
        <w:rPr>
          <w:rFonts w:asciiTheme="majorBidi" w:hAnsiTheme="majorBidi" w:cstheme="majorBidi"/>
        </w:rPr>
        <w:t xml:space="preserve"> MMP9 est en corrélation avec les taux élevés du NO</w:t>
      </w:r>
      <w:r w:rsidR="00724358">
        <w:rPr>
          <w:rFonts w:asciiTheme="majorBidi" w:hAnsiTheme="majorBidi" w:cstheme="majorBidi"/>
        </w:rPr>
        <w:t xml:space="preserve"> plasmatique</w:t>
      </w:r>
      <w:r w:rsidR="003C68D0" w:rsidRPr="003C68D0">
        <w:rPr>
          <w:rFonts w:asciiTheme="majorBidi" w:hAnsiTheme="majorBidi" w:cstheme="majorBidi"/>
        </w:rPr>
        <w:t xml:space="preserve">. </w:t>
      </w:r>
      <w:r>
        <w:rPr>
          <w:rFonts w:asciiTheme="majorBidi" w:hAnsiTheme="majorBidi" w:cstheme="majorBidi"/>
        </w:rPr>
        <w:t>L</w:t>
      </w:r>
      <w:r w:rsidR="003C68D0" w:rsidRPr="003C68D0">
        <w:rPr>
          <w:rFonts w:asciiTheme="majorBidi" w:hAnsiTheme="majorBidi" w:cstheme="majorBidi"/>
        </w:rPr>
        <w:t>es deux composés d’arsenic</w:t>
      </w:r>
      <w:r w:rsidR="00C71DCD">
        <w:rPr>
          <w:rFonts w:asciiTheme="majorBidi" w:hAnsiTheme="majorBidi" w:cstheme="majorBidi"/>
        </w:rPr>
        <w:t xml:space="preserve"> ont induit une cytotoxicité et une</w:t>
      </w:r>
      <w:r w:rsidR="003C68D0" w:rsidRPr="003C68D0">
        <w:rPr>
          <w:rFonts w:asciiTheme="majorBidi" w:hAnsiTheme="majorBidi" w:cstheme="majorBidi"/>
        </w:rPr>
        <w:t xml:space="preserve"> diminution des taux de NO </w:t>
      </w:r>
      <w:r>
        <w:rPr>
          <w:rFonts w:asciiTheme="majorBidi" w:hAnsiTheme="majorBidi" w:cstheme="majorBidi"/>
        </w:rPr>
        <w:t>sur des biopsies NPC</w:t>
      </w:r>
      <w:r w:rsidR="003C68D0" w:rsidRPr="003C68D0">
        <w:rPr>
          <w:rFonts w:asciiTheme="majorBidi" w:hAnsiTheme="majorBidi" w:cstheme="majorBidi"/>
        </w:rPr>
        <w:t xml:space="preserve">. </w:t>
      </w:r>
      <w:r w:rsidR="003C68D0" w:rsidRPr="003C68D0">
        <w:rPr>
          <w:rFonts w:asciiTheme="majorBidi" w:hAnsiTheme="majorBidi" w:cstheme="majorBidi"/>
        </w:rPr>
        <w:t>N</w:t>
      </w:r>
      <w:r w:rsidR="00724358">
        <w:rPr>
          <w:rFonts w:asciiTheme="majorBidi" w:hAnsiTheme="majorBidi" w:cstheme="majorBidi"/>
        </w:rPr>
        <w:t>os résultats suggèrent donc</w:t>
      </w:r>
      <w:r w:rsidR="003C68D0" w:rsidRPr="003C68D0">
        <w:rPr>
          <w:rFonts w:asciiTheme="majorBidi" w:hAnsiTheme="majorBidi" w:cstheme="majorBidi"/>
        </w:rPr>
        <w:t xml:space="preserve"> </w:t>
      </w:r>
      <w:r w:rsidR="003C68D0" w:rsidRPr="003C68D0">
        <w:rPr>
          <w:rFonts w:asciiTheme="majorBidi" w:hAnsiTheme="majorBidi" w:cstheme="majorBidi"/>
        </w:rPr>
        <w:t>que les composés d</w:t>
      </w:r>
      <w:r w:rsidR="00296006">
        <w:rPr>
          <w:rFonts w:asciiTheme="majorBidi" w:hAnsiTheme="majorBidi" w:cstheme="majorBidi"/>
        </w:rPr>
        <w:t>e l</w:t>
      </w:r>
      <w:r w:rsidR="003C68D0" w:rsidRPr="003C68D0">
        <w:rPr>
          <w:rFonts w:asciiTheme="majorBidi" w:hAnsiTheme="majorBidi" w:cstheme="majorBidi"/>
        </w:rPr>
        <w:t>’arsenic, particulièrement le NaAsO</w:t>
      </w:r>
      <w:r w:rsidR="003C68D0" w:rsidRPr="00C71DCD">
        <w:rPr>
          <w:rFonts w:asciiTheme="majorBidi" w:hAnsiTheme="majorBidi" w:cstheme="majorBidi"/>
          <w:vertAlign w:val="subscript"/>
        </w:rPr>
        <w:t>2</w:t>
      </w:r>
      <w:r w:rsidR="003C68D0" w:rsidRPr="003C68D0">
        <w:rPr>
          <w:rFonts w:asciiTheme="majorBidi" w:hAnsiTheme="majorBidi" w:cstheme="majorBidi"/>
        </w:rPr>
        <w:t>, seraient des candidats intéressants en vue de</w:t>
      </w:r>
      <w:r w:rsidR="003C68D0" w:rsidRPr="003C68D0">
        <w:rPr>
          <w:rFonts w:asciiTheme="majorBidi" w:hAnsiTheme="majorBidi" w:cstheme="majorBidi"/>
        </w:rPr>
        <w:t xml:space="preserve"> </w:t>
      </w:r>
      <w:r w:rsidR="00C71DCD">
        <w:rPr>
          <w:rFonts w:asciiTheme="majorBidi" w:hAnsiTheme="majorBidi" w:cstheme="majorBidi"/>
        </w:rPr>
        <w:t>thérapi</w:t>
      </w:r>
      <w:r w:rsidR="003C68D0" w:rsidRPr="003C68D0">
        <w:rPr>
          <w:rFonts w:asciiTheme="majorBidi" w:hAnsiTheme="majorBidi" w:cstheme="majorBidi"/>
        </w:rPr>
        <w:t xml:space="preserve">e contre les tumeurs </w:t>
      </w:r>
      <w:r w:rsidR="00296006">
        <w:rPr>
          <w:rFonts w:asciiTheme="majorBidi" w:hAnsiTheme="majorBidi" w:cstheme="majorBidi"/>
        </w:rPr>
        <w:t xml:space="preserve"> associées à l’</w:t>
      </w:r>
      <w:r w:rsidR="003C68D0" w:rsidRPr="003C68D0">
        <w:rPr>
          <w:rFonts w:asciiTheme="majorBidi" w:hAnsiTheme="majorBidi" w:cstheme="majorBidi"/>
        </w:rPr>
        <w:t>EBV.</w:t>
      </w:r>
      <w:bookmarkStart w:id="0" w:name="_GoBack"/>
      <w:bookmarkEnd w:id="0"/>
    </w:p>
    <w:sectPr w:rsidR="0016355F" w:rsidRPr="003C68D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C68D0"/>
    <w:rsid w:val="0016355F"/>
    <w:rsid w:val="00296006"/>
    <w:rsid w:val="003C68D0"/>
    <w:rsid w:val="00465D88"/>
    <w:rsid w:val="00724358"/>
    <w:rsid w:val="00C71D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124</Words>
  <Characters>682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805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Abderezak</dc:creator>
  <cp:lastModifiedBy>Abderezak</cp:lastModifiedBy>
  <cp:revision>2</cp:revision>
  <dcterms:created xsi:type="dcterms:W3CDTF">2015-06-29T03:20:00Z</dcterms:created>
  <dcterms:modified xsi:type="dcterms:W3CDTF">2015-06-29T03:52:00Z</dcterms:modified>
</cp:coreProperties>
</file>