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088" w:rsidRDefault="00CE2088" w:rsidP="00CE2088">
      <w:r>
        <w:t xml:space="preserve">       Dans le cadre de cette thèse, nous explicitons les effets transverses et leur rôle dans la détermination</w:t>
      </w:r>
    </w:p>
    <w:p w:rsidR="00CE2088" w:rsidRDefault="00CE2088" w:rsidP="00CE2088">
      <w:r>
        <w:t xml:space="preserve"> des propriétés physiques et géométriques du faisceau laser. Particulièrement, l’effet de la diffraction en</w:t>
      </w:r>
    </w:p>
    <w:p w:rsidR="00CE2088" w:rsidRDefault="00CE2088" w:rsidP="00CE2088">
      <w:r>
        <w:t xml:space="preserve"> champ proche sur la divergence du faisceau laser en champ lointain est analysé au moyen de trois</w:t>
      </w:r>
    </w:p>
    <w:p w:rsidR="00CE2088" w:rsidRDefault="00CE2088" w:rsidP="00CE2088">
      <w:r>
        <w:t xml:space="preserve"> techniques expérimentales en régime d’émission relaxée, à l’échelle de la microseconde, d’un laser solide</w:t>
      </w:r>
    </w:p>
    <w:p w:rsidR="00CE2088" w:rsidRDefault="00CE2088" w:rsidP="00CE2088">
      <w:r>
        <w:t xml:space="preserve"> rubis : </w:t>
      </w:r>
    </w:p>
    <w:p w:rsidR="00CE2088" w:rsidRDefault="00CE2088" w:rsidP="00CE2088"/>
    <w:p w:rsidR="00CE2088" w:rsidRDefault="00CE2088" w:rsidP="00CE2088">
      <w:r>
        <w:t>1.</w:t>
      </w:r>
      <w:r>
        <w:tab/>
        <w:t>le relevé des profils transverses d’intensité par pics du train relaxé,</w:t>
      </w:r>
    </w:p>
    <w:p w:rsidR="00CE2088" w:rsidRDefault="00CE2088" w:rsidP="00CE2088">
      <w:r>
        <w:t>2.</w:t>
      </w:r>
      <w:r>
        <w:tab/>
        <w:t>la mesure de la transmission par l’ouverture d’un diaphragme placé en champ lointain,</w:t>
      </w:r>
    </w:p>
    <w:p w:rsidR="00CE2088" w:rsidRDefault="00CE2088" w:rsidP="00CE2088">
      <w:r>
        <w:t>3.</w:t>
      </w:r>
      <w:r>
        <w:tab/>
        <w:t>la mesure de la transmission au-delà du pourtour d’un stop placé en champ lointain.</w:t>
      </w:r>
    </w:p>
    <w:p w:rsidR="00CE2088" w:rsidRDefault="00CE2088" w:rsidP="00CE2088"/>
    <w:p w:rsidR="00CE2088" w:rsidRDefault="00CE2088" w:rsidP="00CE2088">
      <w:r>
        <w:t xml:space="preserve">     La troisième technique est répétée à l’échelle de la nanoseconde pour différents stops. Ces expérimentations</w:t>
      </w:r>
    </w:p>
    <w:p w:rsidR="00CE2088" w:rsidRDefault="00CE2088" w:rsidP="00CE2088">
      <w:r>
        <w:t xml:space="preserve"> prouvent une perte totale de corrélation transverse et longitudinale (temporelle) entre le centre et l’aile du </w:t>
      </w:r>
    </w:p>
    <w:p w:rsidR="00CE2088" w:rsidRDefault="00CE2088" w:rsidP="00CE2088">
      <w:r>
        <w:t xml:space="preserve"> faisceau diffracté en champ proche, de sorte que la résolution en temps de l’évolution de sa divergence est</w:t>
      </w:r>
    </w:p>
    <w:p w:rsidR="00CE2088" w:rsidRDefault="00CE2088" w:rsidP="00CE2088">
      <w:r>
        <w:t xml:space="preserve"> susceptible de produire des résultats expérimentaux complètement erronés si l’effet de diffraction n’est pas</w:t>
      </w:r>
    </w:p>
    <w:p w:rsidR="00CE2088" w:rsidRDefault="00CE2088" w:rsidP="00CE2088">
      <w:r>
        <w:t xml:space="preserve"> rigoureusement évalué. Cet effet de dé-corrélation transverse du faisceau était jusque-là méconnu en</w:t>
      </w:r>
    </w:p>
    <w:p w:rsidR="00CE2088" w:rsidRDefault="00CE2088" w:rsidP="00CE2088">
      <w:r>
        <w:t xml:space="preserve"> littérature.</w:t>
      </w:r>
    </w:p>
    <w:p w:rsidR="00CE2088" w:rsidRDefault="00CE2088" w:rsidP="00CE2088"/>
    <w:p w:rsidR="00CE2088" w:rsidRDefault="00CE2088" w:rsidP="00CE2088">
      <w:r>
        <w:t xml:space="preserve">     D’autre part, l’effet lentille de population, peu étudié dans la littérature, est analysé dans le matériau laser </w:t>
      </w:r>
    </w:p>
    <w:p w:rsidR="00CE2088" w:rsidRDefault="00CE2088" w:rsidP="00CE2088">
      <w:r>
        <w:t xml:space="preserve"> rubis. Il est généré par simple excitation de la population des atomes actifs de leur niveau fondamental vers</w:t>
      </w:r>
    </w:p>
    <w:p w:rsidR="00CE2088" w:rsidRDefault="00CE2088" w:rsidP="00CE2088">
      <w:r>
        <w:t xml:space="preserve"> leur niveau laser supérieur, métastable. Il suit l’échelle de temps de l’impulsion laser excitatrice, d’où la</w:t>
      </w:r>
    </w:p>
    <w:p w:rsidR="00CE2088" w:rsidRDefault="00CE2088" w:rsidP="00CE2088">
      <w:r>
        <w:lastRenderedPageBreak/>
        <w:t xml:space="preserve"> difficulté de s’en affranchir. Il existe deux formulations de cet effet : l’une l’exprime en termes de population</w:t>
      </w:r>
    </w:p>
    <w:p w:rsidR="00CE2088" w:rsidRDefault="00CE2088" w:rsidP="00CE2088">
      <w:r>
        <w:t xml:space="preserve"> invertie, l’autre l’écrit comme proportionnel à la population excitée. Dans les lasers solides à trois niveaux</w:t>
      </w:r>
    </w:p>
    <w:p w:rsidR="00CE2088" w:rsidRDefault="00CE2088" w:rsidP="00CE2088">
      <w:r>
        <w:t xml:space="preserve"> d’énergie, ces deux formulations divergent quantitativement. Nous montrons que la première est simplement</w:t>
      </w:r>
    </w:p>
    <w:p w:rsidR="00CE2088" w:rsidRDefault="00CE2088" w:rsidP="00CE2088">
      <w:r>
        <w:t xml:space="preserve"> erronée et que la deuxième est physiquement consistante. Encore, le signe de cet effet lentille dans le rubis,</w:t>
      </w:r>
    </w:p>
    <w:p w:rsidR="00CE2088" w:rsidRDefault="00CE2088" w:rsidP="00CE2088">
      <w:r>
        <w:t xml:space="preserve"> laser à trois niveaux, a-t-il fait l’objet de résultats expérimentaux contradictoires dans la littérature. En</w:t>
      </w:r>
    </w:p>
    <w:p w:rsidR="00CE2088" w:rsidRDefault="00CE2088" w:rsidP="00CE2088">
      <w:r>
        <w:t xml:space="preserve"> réalisant diverses expérimentations en situation laser (mesures de la divergence résolues en temps par trois</w:t>
      </w:r>
    </w:p>
    <w:p w:rsidR="00CE2088" w:rsidRDefault="00CE2088" w:rsidP="00CE2088">
      <w:r>
        <w:t xml:space="preserve"> techniques différentes) et non laser (Z-scan, EZ-scan résonant), nous avons obtenu également des résultats</w:t>
      </w:r>
    </w:p>
    <w:p w:rsidR="00CE2088" w:rsidRDefault="00CE2088" w:rsidP="00CE2088">
      <w:r>
        <w:t xml:space="preserve"> contradictoires. Cette contradiction a ensuite été levée par l’analyse expérimentale minutieuse du faisceau</w:t>
      </w:r>
    </w:p>
    <w:p w:rsidR="00CE2088" w:rsidRDefault="00CE2088" w:rsidP="00CE2088">
      <w:r>
        <w:t xml:space="preserve"> laser excitateur ou émis selon la situation. L’effet lentille de population à travers la différence de polarisabilité</w:t>
      </w:r>
    </w:p>
    <w:p w:rsidR="00CE2088" w:rsidRDefault="00CE2088" w:rsidP="00CE2088">
      <w:r>
        <w:t xml:space="preserve"> dans le matériau rubis est confirmé de signe positif. Des résultats quantitatifs ont également été obtenus. Ils</w:t>
      </w:r>
    </w:p>
    <w:p w:rsidR="00CE2088" w:rsidRDefault="00CE2088" w:rsidP="00CE2088">
      <w:r>
        <w:t xml:space="preserve"> concordent parfaitement avec le peu de résultats existant dans la littérature. En outre, comme nos conditions</w:t>
      </w:r>
    </w:p>
    <w:p w:rsidR="00CE2088" w:rsidRDefault="00CE2088" w:rsidP="00CE2088">
      <w:r>
        <w:t xml:space="preserve"> d’expérimentation étaient celles d’une forte saturation du milieu laser, situation non traitée dans littérature,</w:t>
      </w:r>
    </w:p>
    <w:p w:rsidR="00E37158" w:rsidRDefault="00CE2088" w:rsidP="00CE2088">
      <w:r>
        <w:t xml:space="preserve"> nous avons recouru à une modélisation analytique et établi par là des résultats tout à fait originaux.</w:t>
      </w:r>
    </w:p>
    <w:sectPr w:rsidR="00E37158" w:rsidSect="00E3715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E2088"/>
    <w:rsid w:val="00CE2088"/>
    <w:rsid w:val="00E371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715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467</Words>
  <Characters>2570</Characters>
  <Application>Microsoft Office Word</Application>
  <DocSecurity>0</DocSecurity>
  <Lines>21</Lines>
  <Paragraphs>6</Paragraphs>
  <ScaleCrop>false</ScaleCrop>
  <Company/>
  <LinksUpToDate>false</LinksUpToDate>
  <CharactersWithSpaces>3031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2015-01-12T12:18:00Z</dcterms:created>
  <dcterms:modified xsi:type="dcterms:W3CDTF">2015-01-12T12:18:00Z</dcterms:modified>
</cp:coreProperties>
</file>