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80" w:type="dxa"/>
          <w:right w:w="80" w:type="dxa"/>
        </w:tblCellMar>
        <w:tblLook w:val="0000"/>
      </w:tblPr>
      <w:tblGrid>
        <w:gridCol w:w="8003"/>
      </w:tblGrid>
      <w:tr w:rsidR="00F16D57" w:rsidTr="00200084">
        <w:tblPrEx>
          <w:tblCellMar>
            <w:top w:w="0" w:type="dxa"/>
            <w:bottom w:w="0" w:type="dxa"/>
          </w:tblCellMar>
        </w:tblPrEx>
        <w:trPr>
          <w:cantSplit/>
          <w:trHeight w:val="693"/>
          <w:jc w:val="center"/>
        </w:trPr>
        <w:tc>
          <w:tcPr>
            <w:tcW w:w="8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6D57" w:rsidRDefault="00F16D57" w:rsidP="0020008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Les cisaillements lithosphériques en conditions anhydres et hydratées :</w:t>
            </w:r>
          </w:p>
          <w:p w:rsidR="00F16D57" w:rsidRDefault="00F16D57" w:rsidP="00200084">
            <w:pPr>
              <w:jc w:val="center"/>
              <w:rPr>
                <w:b/>
                <w:smallCaps/>
              </w:rPr>
            </w:pPr>
            <w:r>
              <w:rPr>
                <w:b/>
                <w:bCs/>
              </w:rPr>
              <w:t>Exemples du Hoggar occidental. Algérie.</w:t>
            </w:r>
          </w:p>
        </w:tc>
      </w:tr>
    </w:tbl>
    <w:p w:rsidR="00F16D57" w:rsidRDefault="00F16D57" w:rsidP="00F16D57">
      <w:pPr>
        <w:widowControl w:val="0"/>
        <w:jc w:val="both"/>
        <w:rPr>
          <w:rFonts w:ascii="Times New Roman" w:hAnsi="Times New Roman"/>
          <w:b/>
          <w:smallCaps/>
          <w:sz w:val="16"/>
          <w:szCs w:val="16"/>
        </w:rPr>
      </w:pPr>
    </w:p>
    <w:tbl>
      <w:tblPr>
        <w:tblW w:w="0" w:type="auto"/>
        <w:jc w:val="center"/>
        <w:tblLayout w:type="fixed"/>
        <w:tblCellMar>
          <w:left w:w="56" w:type="dxa"/>
          <w:right w:w="56" w:type="dxa"/>
        </w:tblCellMar>
        <w:tblLook w:val="0000"/>
      </w:tblPr>
      <w:tblGrid>
        <w:gridCol w:w="4536"/>
      </w:tblGrid>
      <w:tr w:rsidR="00F16D57" w:rsidTr="00200084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6D57" w:rsidRDefault="00F16D57" w:rsidP="00200084">
            <w:pPr>
              <w:widowControl w:val="0"/>
              <w:spacing w:line="360" w:lineRule="atLeast"/>
              <w:jc w:val="center"/>
              <w:rPr>
                <w:rFonts w:ascii="Times New Roman" w:hAnsi="Times New Roman"/>
                <w:b/>
                <w:smallCaps/>
                <w:position w:val="6"/>
              </w:rPr>
            </w:pPr>
            <w:r>
              <w:t>Présenté par : El-Hocine FETTOUS**</w:t>
            </w:r>
          </w:p>
        </w:tc>
      </w:tr>
    </w:tbl>
    <w:p w:rsidR="00F16D57" w:rsidRDefault="00F16D57" w:rsidP="00F16D57">
      <w:pPr>
        <w:widowControl w:val="0"/>
        <w:jc w:val="both"/>
        <w:rPr>
          <w:rFonts w:ascii="Times New Roman" w:hAnsi="Times New Roman"/>
          <w:b/>
          <w:smallCaps/>
          <w:sz w:val="16"/>
          <w:szCs w:val="16"/>
        </w:rPr>
      </w:pPr>
    </w:p>
    <w:tbl>
      <w:tblPr>
        <w:tblW w:w="0" w:type="auto"/>
        <w:jc w:val="center"/>
        <w:tblLayout w:type="fixed"/>
        <w:tblCellMar>
          <w:left w:w="56" w:type="dxa"/>
          <w:right w:w="56" w:type="dxa"/>
        </w:tblCellMar>
        <w:tblLook w:val="0000"/>
      </w:tblPr>
      <w:tblGrid>
        <w:gridCol w:w="6804"/>
      </w:tblGrid>
      <w:tr w:rsidR="00F16D57" w:rsidTr="00200084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6D57" w:rsidRDefault="00F16D57" w:rsidP="00200084">
            <w:pPr>
              <w:jc w:val="center"/>
            </w:pPr>
            <w:r>
              <w:t>Institut des Sciences de la Terre, U.S.T.H.B.</w:t>
            </w:r>
          </w:p>
        </w:tc>
      </w:tr>
    </w:tbl>
    <w:p w:rsidR="00F16D57" w:rsidRDefault="00F16D57" w:rsidP="00F16D57">
      <w:pPr>
        <w:widowControl w:val="0"/>
        <w:jc w:val="both"/>
        <w:rPr>
          <w:rFonts w:ascii="Times New Roman" w:hAnsi="Times New Roman"/>
          <w:b/>
          <w:smallCaps/>
          <w:sz w:val="16"/>
          <w:szCs w:val="16"/>
        </w:rPr>
      </w:pPr>
    </w:p>
    <w:tbl>
      <w:tblPr>
        <w:tblW w:w="0" w:type="auto"/>
        <w:jc w:val="center"/>
        <w:tblLayout w:type="fixed"/>
        <w:tblCellMar>
          <w:left w:w="56" w:type="dxa"/>
          <w:right w:w="56" w:type="dxa"/>
        </w:tblCellMar>
        <w:tblLook w:val="0000"/>
      </w:tblPr>
      <w:tblGrid>
        <w:gridCol w:w="8930"/>
      </w:tblGrid>
      <w:tr w:rsidR="00F16D57" w:rsidTr="00200084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8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6D57" w:rsidRDefault="00F16D57" w:rsidP="00200084">
            <w:pPr>
              <w:pStyle w:val="Corpsdetexte"/>
              <w:rPr>
                <w:b/>
                <w:bCs/>
              </w:rPr>
            </w:pPr>
            <w:r>
              <w:rPr>
                <w:b/>
                <w:bCs/>
              </w:rPr>
              <w:t>Résumé</w:t>
            </w:r>
          </w:p>
          <w:p w:rsidR="00F16D57" w:rsidRDefault="00F16D57" w:rsidP="00200084">
            <w:pPr>
              <w:jc w:val="both"/>
              <w:rPr>
                <w:rFonts w:ascii="Times New Roman" w:hAnsi="Times New Roman"/>
              </w:rPr>
            </w:pPr>
          </w:p>
          <w:p w:rsidR="00F16D57" w:rsidRDefault="00F16D57" w:rsidP="00200084">
            <w:pPr>
              <w:ind w:firstLine="708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La partie nord du </w:t>
            </w:r>
            <w:proofErr w:type="spellStart"/>
            <w:r>
              <w:rPr>
                <w:rFonts w:ascii="Times New Roman" w:hAnsi="Times New Roman"/>
              </w:rPr>
              <w:t>terrane</w:t>
            </w:r>
            <w:proofErr w:type="spellEnd"/>
            <w:r>
              <w:rPr>
                <w:rFonts w:ascii="Times New Roman" w:hAnsi="Times New Roman"/>
              </w:rPr>
              <w:t xml:space="preserve"> d'In </w:t>
            </w:r>
            <w:proofErr w:type="spellStart"/>
            <w:r>
              <w:rPr>
                <w:rFonts w:ascii="Times New Roman" w:hAnsi="Times New Roman"/>
              </w:rPr>
              <w:t>Ouzzal</w:t>
            </w:r>
            <w:proofErr w:type="spellEnd"/>
            <w:r>
              <w:rPr>
                <w:rFonts w:ascii="Times New Roman" w:hAnsi="Times New Roman"/>
              </w:rPr>
              <w:t xml:space="preserve"> est affecté par un </w:t>
            </w:r>
            <w:proofErr w:type="spellStart"/>
            <w:r>
              <w:rPr>
                <w:rFonts w:ascii="Times New Roman" w:hAnsi="Times New Roman"/>
              </w:rPr>
              <w:t>évenement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tectono</w:t>
            </w:r>
            <w:proofErr w:type="spellEnd"/>
            <w:r>
              <w:rPr>
                <w:rFonts w:ascii="Times New Roman" w:hAnsi="Times New Roman"/>
              </w:rPr>
              <w:t xml:space="preserve">-métamorphique  granulitique à l'Eburnéen, se surimposant à une période de croissance </w:t>
            </w:r>
            <w:proofErr w:type="spellStart"/>
            <w:r>
              <w:rPr>
                <w:rFonts w:ascii="Times New Roman" w:hAnsi="Times New Roman"/>
              </w:rPr>
              <w:t>crustale</w:t>
            </w:r>
            <w:proofErr w:type="spellEnd"/>
            <w:r>
              <w:rPr>
                <w:rFonts w:ascii="Times New Roman" w:hAnsi="Times New Roman"/>
              </w:rPr>
              <w:t xml:space="preserve"> archéenne. L'étude pétro-structurale montre que l'histoire éburnéenne est caractérisée par un fort raccourcissement NW-SE retraçant trois stades de l'évolution.</w:t>
            </w:r>
          </w:p>
          <w:p w:rsidR="00F16D57" w:rsidRDefault="00F16D57" w:rsidP="00200084">
            <w:pPr>
              <w:pStyle w:val="Corpsdetexte"/>
              <w:ind w:firstLine="708"/>
            </w:pPr>
          </w:p>
          <w:p w:rsidR="00F16D57" w:rsidRDefault="00F16D57" w:rsidP="00200084">
            <w:pPr>
              <w:pStyle w:val="Corpsdetexte"/>
              <w:ind w:firstLine="708"/>
            </w:pPr>
            <w:r>
              <w:t xml:space="preserve">Les structures et sous-structures indiquent que les deux premiers stades de déformations (1) raccourcissement homogène horizontal et (2) raccourcissement accommodé par une composante horizontale s'effectuent, respectivement, par fluage-diffusion dominant relayé par l'activation de glissements intra-cristallins de haute température accompagné de faible recristallisation. Le troisième stade s'accompagne de formation de </w:t>
            </w:r>
            <w:proofErr w:type="spellStart"/>
            <w:r>
              <w:t>pseudotachylites</w:t>
            </w:r>
            <w:proofErr w:type="spellEnd"/>
            <w:r>
              <w:t xml:space="preserve"> </w:t>
            </w:r>
          </w:p>
          <w:p w:rsidR="00F16D57" w:rsidRDefault="00F16D57" w:rsidP="00200084">
            <w:pPr>
              <w:pStyle w:val="Corpsdetexte"/>
              <w:ind w:firstLine="708"/>
            </w:pPr>
          </w:p>
          <w:p w:rsidR="00F16D57" w:rsidRDefault="00F16D57" w:rsidP="00200084">
            <w:pPr>
              <w:pStyle w:val="Corpsdetexte"/>
              <w:ind w:firstLine="708"/>
            </w:pPr>
            <w:r>
              <w:t xml:space="preserve">L'analyse pétro-structurale indique que ces trois stades successifs traduisent un </w:t>
            </w:r>
            <w:proofErr w:type="spellStart"/>
            <w:r>
              <w:t>continum</w:t>
            </w:r>
            <w:proofErr w:type="spellEnd"/>
            <w:r>
              <w:t xml:space="preserve"> de déformation totalement réalisés sous les conditions de granulite faciès.</w:t>
            </w:r>
          </w:p>
          <w:p w:rsidR="00F16D57" w:rsidRDefault="00F16D57" w:rsidP="00200084">
            <w:pPr>
              <w:pStyle w:val="Corpsdetexte"/>
              <w:ind w:firstLine="708"/>
            </w:pPr>
          </w:p>
          <w:p w:rsidR="00F16D57" w:rsidRDefault="00F16D57" w:rsidP="00200084">
            <w:pPr>
              <w:pStyle w:val="Corpsdetexte"/>
              <w:ind w:firstLine="708"/>
            </w:pPr>
            <w:r>
              <w:t xml:space="preserve">Ces résultats permettent d'approcher la rhéologie d'une base de croûte éburnéenne évoluant dans des conditions anhydres d'un comportement ductile de très haute température vers un comportement fragile. </w:t>
            </w:r>
          </w:p>
          <w:p w:rsidR="00F16D57" w:rsidRDefault="00F16D57" w:rsidP="00200084">
            <w:pPr>
              <w:pStyle w:val="Corpsdetexte"/>
              <w:ind w:firstLine="708"/>
            </w:pPr>
          </w:p>
          <w:p w:rsidR="00F16D57" w:rsidRDefault="00F16D57" w:rsidP="00200084">
            <w:pPr>
              <w:pStyle w:val="Corpsdetexte"/>
              <w:ind w:firstLine="708"/>
            </w:pPr>
            <w:r>
              <w:t xml:space="preserve">L'exemple d'un comportement en conditions hydratées est illustré par l'évolution de Tin </w:t>
            </w:r>
            <w:proofErr w:type="spellStart"/>
            <w:r>
              <w:t>Zebbane</w:t>
            </w:r>
            <w:proofErr w:type="spellEnd"/>
            <w:r>
              <w:t xml:space="preserve"> El </w:t>
            </w:r>
            <w:proofErr w:type="spellStart"/>
            <w:r>
              <w:t>Kahla</w:t>
            </w:r>
            <w:proofErr w:type="spellEnd"/>
            <w:r>
              <w:t>, appartenant à la chaîne panafricaine occidentale.</w:t>
            </w:r>
          </w:p>
          <w:p w:rsidR="00F16D57" w:rsidRDefault="00F16D57" w:rsidP="00200084">
            <w:pPr>
              <w:pStyle w:val="Corpsdetexte"/>
            </w:pPr>
          </w:p>
          <w:p w:rsidR="00F16D57" w:rsidRDefault="00F16D57" w:rsidP="00200084">
            <w:pPr>
              <w:pStyle w:val="Corpsdetexte"/>
              <w:ind w:firstLine="708"/>
            </w:pPr>
            <w:r>
              <w:t xml:space="preserve">Le stade précoce correspond à une subduction ayant amenée une croûte océanique dans des conditions </w:t>
            </w:r>
            <w:proofErr w:type="spellStart"/>
            <w:r>
              <w:t>éclogitiques</w:t>
            </w:r>
            <w:proofErr w:type="spellEnd"/>
            <w:r>
              <w:t xml:space="preserve">. Ce stade est représenté en </w:t>
            </w:r>
            <w:proofErr w:type="spellStart"/>
            <w:r>
              <w:t>suprastructure</w:t>
            </w:r>
            <w:proofErr w:type="spellEnd"/>
            <w:r>
              <w:t xml:space="preserve"> par des chevauchements à double vergence, compatible avec un raccourcissement de direction Est - Ouest.</w:t>
            </w:r>
          </w:p>
          <w:p w:rsidR="00F16D57" w:rsidRDefault="00F16D57" w:rsidP="00200084">
            <w:pPr>
              <w:pStyle w:val="Corpsdetexte"/>
              <w:ind w:firstLine="708"/>
            </w:pPr>
            <w:r>
              <w:t xml:space="preserve">L'exhumation de la racine de cette chaîne par raccourcissement de direction WNW – ESE, est contrôlée par le fonctionnement de cisaillements </w:t>
            </w:r>
            <w:proofErr w:type="spellStart"/>
            <w:r>
              <w:t>transcurrents</w:t>
            </w:r>
            <w:proofErr w:type="spellEnd"/>
            <w:r>
              <w:t xml:space="preserve">, réactivant les anciens contacts chevauchants. Elle s'accompagne d'une </w:t>
            </w:r>
            <w:proofErr w:type="spellStart"/>
            <w:r>
              <w:t>rétromorphose</w:t>
            </w:r>
            <w:proofErr w:type="spellEnd"/>
            <w:r>
              <w:t xml:space="preserve"> retraçant une évolution en trois stades.</w:t>
            </w:r>
          </w:p>
          <w:p w:rsidR="00F16D57" w:rsidRDefault="00F16D57" w:rsidP="00200084">
            <w:pPr>
              <w:pStyle w:val="Corpsdetexte"/>
              <w:ind w:firstLine="708"/>
            </w:pPr>
            <w:r>
              <w:t xml:space="preserve">Après le stade </w:t>
            </w:r>
            <w:proofErr w:type="spellStart"/>
            <w:r>
              <w:t>éclogitique</w:t>
            </w:r>
            <w:proofErr w:type="spellEnd"/>
            <w:r>
              <w:t xml:space="preserve"> relique, les </w:t>
            </w:r>
            <w:proofErr w:type="spellStart"/>
            <w:r>
              <w:t>métabasites</w:t>
            </w:r>
            <w:proofErr w:type="spellEnd"/>
            <w:r>
              <w:t xml:space="preserve"> atteignent les conditions granulitiques de base de croûte (P = 11</w:t>
            </w:r>
            <w:r>
              <w:rPr>
                <w:u w:val="single"/>
              </w:rPr>
              <w:t>+</w:t>
            </w:r>
            <w:r>
              <w:t xml:space="preserve"> 1.5 et T = 800 </w:t>
            </w:r>
            <w:r>
              <w:rPr>
                <w:u w:val="single"/>
              </w:rPr>
              <w:t>+</w:t>
            </w:r>
            <w:r>
              <w:t xml:space="preserve"> 30) estimées a l'aide des </w:t>
            </w:r>
            <w:proofErr w:type="spellStart"/>
            <w:r>
              <w:t>paragenèses</w:t>
            </w:r>
            <w:proofErr w:type="spellEnd"/>
            <w:r>
              <w:t xml:space="preserve"> à </w:t>
            </w:r>
            <w:proofErr w:type="spellStart"/>
            <w:r>
              <w:t>orthopyroxène</w:t>
            </w:r>
            <w:proofErr w:type="spellEnd"/>
            <w:r>
              <w:t xml:space="preserve">, grenat et plagioclase et </w:t>
            </w:r>
            <w:proofErr w:type="spellStart"/>
            <w:r>
              <w:t>clinopyroxène</w:t>
            </w:r>
            <w:proofErr w:type="spellEnd"/>
            <w:r>
              <w:t xml:space="preserve">, grenat et </w:t>
            </w:r>
            <w:proofErr w:type="gramStart"/>
            <w:r>
              <w:t>plagioclase .</w:t>
            </w:r>
            <w:proofErr w:type="gramEnd"/>
            <w:r>
              <w:t xml:space="preserve"> La </w:t>
            </w:r>
            <w:proofErr w:type="spellStart"/>
            <w:r>
              <w:t>rétromorphose</w:t>
            </w:r>
            <w:proofErr w:type="spellEnd"/>
            <w:r>
              <w:t xml:space="preserve"> se poursuit par un stade d'amphibolite faciès marquée par l'association plagioclase-amphibole et se termine par le développement de </w:t>
            </w:r>
            <w:proofErr w:type="spellStart"/>
            <w:r>
              <w:t>paragenèses</w:t>
            </w:r>
            <w:proofErr w:type="spellEnd"/>
            <w:r>
              <w:t xml:space="preserve"> de facies schistes verts (chlorite et </w:t>
            </w:r>
            <w:proofErr w:type="gramStart"/>
            <w:r>
              <w:t>trémolite )</w:t>
            </w:r>
            <w:proofErr w:type="gramEnd"/>
            <w:r>
              <w:t xml:space="preserve">. L'hydratation, accompagnant même les stades précoces, est contrôlée par les cisaillements lithosphériques </w:t>
            </w:r>
            <w:proofErr w:type="spellStart"/>
            <w:r>
              <w:t>transcurents</w:t>
            </w:r>
            <w:proofErr w:type="spellEnd"/>
            <w:r>
              <w:t>.</w:t>
            </w:r>
          </w:p>
          <w:p w:rsidR="00F16D57" w:rsidRDefault="00F16D57" w:rsidP="00200084">
            <w:pPr>
              <w:pStyle w:val="Corpsdetexte"/>
              <w:ind w:firstLine="708"/>
            </w:pPr>
          </w:p>
          <w:p w:rsidR="00F16D57" w:rsidRDefault="00F16D57" w:rsidP="0020008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Mots clés</w:t>
            </w:r>
            <w:r>
              <w:t xml:space="preserve"> : Hoggar, granulites, zones de cisaillement, </w:t>
            </w:r>
            <w:proofErr w:type="spellStart"/>
            <w:r>
              <w:t>pseudotachylites</w:t>
            </w:r>
            <w:proofErr w:type="spellEnd"/>
            <w:r>
              <w:t>, E</w:t>
            </w:r>
            <w:r>
              <w:rPr>
                <w:rFonts w:ascii="Times New Roman" w:hAnsi="Times New Roman"/>
              </w:rPr>
              <w:t>burnéen</w:t>
            </w:r>
            <w:r>
              <w:t>, Panafricain, exhumation, rétro-éclogites.</w:t>
            </w:r>
          </w:p>
        </w:tc>
      </w:tr>
    </w:tbl>
    <w:p w:rsidR="00F16D57" w:rsidRDefault="00F16D57" w:rsidP="00F16D57">
      <w:pPr>
        <w:widowControl w:val="0"/>
        <w:spacing w:line="360" w:lineRule="atLeas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*Thèse de Magister en Géologie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Option Pétrologie-</w:t>
      </w:r>
      <w:r>
        <w:rPr>
          <w:rFonts w:ascii="Times New Roman" w:hAnsi="Times New Roman"/>
        </w:rPr>
        <w:lastRenderedPageBreak/>
        <w:t>Structurologie</w:t>
      </w:r>
    </w:p>
    <w:p w:rsidR="000B7E47" w:rsidRPr="00F16D57" w:rsidRDefault="00F16D57" w:rsidP="00F16D57">
      <w:pPr>
        <w:rPr>
          <w:rFonts w:hint="cs"/>
          <w:lang w:bidi="ar-DZ"/>
        </w:rPr>
      </w:pPr>
      <w:r>
        <w:rPr>
          <w:rFonts w:ascii="Times New Roman" w:hAnsi="Times New Roman"/>
        </w:rPr>
        <w:t xml:space="preserve">**Directeur de thèse : </w:t>
      </w:r>
      <w:proofErr w:type="spellStart"/>
      <w:r>
        <w:rPr>
          <w:rFonts w:ascii="Times New Roman" w:hAnsi="Times New Roman"/>
        </w:rPr>
        <w:t>Yami</w:t>
      </w:r>
      <w:proofErr w:type="spellEnd"/>
    </w:p>
    <w:sectPr w:rsidR="000B7E47" w:rsidRPr="00F16D57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16D57"/>
    <w:rsid w:val="000B7E47"/>
    <w:rsid w:val="006D5754"/>
    <w:rsid w:val="00F16D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6D57"/>
    <w:pPr>
      <w:spacing w:after="0" w:line="240" w:lineRule="auto"/>
    </w:pPr>
    <w:rPr>
      <w:rFonts w:ascii="Times" w:eastAsia="Times New Roman" w:hAnsi="Times" w:cs="Times New Roman"/>
      <w:sz w:val="24"/>
      <w:szCs w:val="24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F16D57"/>
    <w:pPr>
      <w:jc w:val="both"/>
    </w:pPr>
    <w:rPr>
      <w:rFonts w:ascii="Times New Roman" w:hAnsi="Times New Roman"/>
    </w:rPr>
  </w:style>
  <w:style w:type="character" w:customStyle="1" w:styleId="CorpsdetexteCar">
    <w:name w:val="Corps de texte Car"/>
    <w:basedOn w:val="Policepardfaut"/>
    <w:link w:val="Corpsdetexte"/>
    <w:semiHidden/>
    <w:rsid w:val="00F16D57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426</Words>
  <Characters>2429</Characters>
  <Application>Microsoft Office Word</Application>
  <DocSecurity>0</DocSecurity>
  <Lines>20</Lines>
  <Paragraphs>5</Paragraphs>
  <ScaleCrop>false</ScaleCrop>
  <Company/>
  <LinksUpToDate>false</LinksUpToDate>
  <CharactersWithSpaces>2850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2014-11-20T14:12:00Z</dcterms:created>
  <dcterms:modified xsi:type="dcterms:W3CDTF">2014-11-20T14:12:00Z</dcterms:modified>
</cp:coreProperties>
</file>