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CB8" w:rsidRPr="00D87CB8" w:rsidRDefault="00D87CB8" w:rsidP="00D87CB8">
      <w:pPr>
        <w:bidi w:val="0"/>
        <w:rPr>
          <w:lang w:val="fr-FR" w:bidi="ar-DZ"/>
        </w:rPr>
      </w:pPr>
      <w:r w:rsidRPr="00D87CB8">
        <w:rPr>
          <w:lang w:val="fr-FR" w:bidi="ar-DZ"/>
        </w:rPr>
        <w:t xml:space="preserve">A l'heure actuelle, la chromatographie en phase liquide (CL) est la technique qui recueille le plus de succès dans le domaine de la séparation énantiomérique. Cette méthode nous offre un choix de phases stationnaires chirales innombrables pour la séparation de structures chimiques variées, et ceci grâce au large choix de détecteurs disponibles (UV, DAD, IR, spectrophotomètre de masse) autant de paramètres possibles afin d'optimiser la séparation en chromatographie liquide. </w:t>
      </w:r>
    </w:p>
    <w:p w:rsidR="00D87CB8" w:rsidRPr="00D87CB8" w:rsidRDefault="00D87CB8" w:rsidP="00D87CB8">
      <w:pPr>
        <w:bidi w:val="0"/>
        <w:rPr>
          <w:lang w:val="fr-FR" w:bidi="ar-DZ"/>
        </w:rPr>
      </w:pPr>
      <w:r w:rsidRPr="00D87CB8">
        <w:rPr>
          <w:lang w:val="fr-FR" w:bidi="ar-DZ"/>
        </w:rPr>
        <w:t>Dans le cadre de notre travail, nous nous sommes intéressés à l'étude comparative de l'énantiosélectivité de quelques phases stationnaires chirales à base de cellulose, amylose et cyclodextrine par la chromatographie liquide à haute performance. Pour cela, plusieurs produits optiquement actifs notamment des produits pharmaceutiques (bloquants, anti-inflammatoires…..), herbicides ainsi que des produits naturels ont été injectés sur ces colonnes afin de séparer les énantiomères de chaque soluté. Deux modes de phases mobiles ont été étudiés à savoir le mode normal et le mode organique polaire. Par ailleurs, plusieurs paramètres ont été étudiés afin d'améliorer la résolution énantiomèrique. Il s'agit de l'effet de la composition de la phase mobile, du solvant organique et de la structure du soluté.</w:t>
      </w:r>
    </w:p>
    <w:p w:rsidR="00FE0DDE" w:rsidRPr="00D87CB8" w:rsidRDefault="00D87CB8" w:rsidP="00D87CB8">
      <w:pPr>
        <w:bidi w:val="0"/>
        <w:rPr>
          <w:rFonts w:hint="cs"/>
          <w:lang w:val="fr-FR" w:bidi="ar-DZ"/>
        </w:rPr>
      </w:pPr>
      <w:r w:rsidRPr="00D87CB8">
        <w:rPr>
          <w:lang w:val="fr-FR" w:bidi="ar-DZ"/>
        </w:rPr>
        <w:t>Les résultats obtenus ont montré que les colonnes testées dans ce travail sont complémentaires puisque certains mélanges racémiques sont résolus sur une phase et non pas sur l'autre. En effet, la colonne à base d'amylose étudiée en mode normal et organique polaire à permis de conclure que les benzodiazépines sont tous résolus en mode organique polaire en utilisant la phase mobile 2-propanol/Acétonitrile. Alors que la colonne à base de cellulose donnait de meilleures résolutions en mode normal avec le mélange Hexane/Ethanol où tous les bloquants ont été parfaitement résolus avec des facteurs de résolutions allant jusqu'à Rs=8.44.</w:t>
      </w:r>
    </w:p>
    <w:sectPr w:rsidR="00FE0DDE" w:rsidRPr="00D87CB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D87CB8"/>
    <w:rsid w:val="005F47AF"/>
    <w:rsid w:val="00D87CB8"/>
    <w:rsid w:val="00FE0DD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0DD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286</Words>
  <Characters>1636</Characters>
  <Application>Microsoft Office Word</Application>
  <DocSecurity>0</DocSecurity>
  <Lines>13</Lines>
  <Paragraphs>3</Paragraphs>
  <ScaleCrop>false</ScaleCrop>
  <Company/>
  <LinksUpToDate>false</LinksUpToDate>
  <CharactersWithSpaces>1919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2015-12-21T09:17:00Z</dcterms:created>
  <dcterms:modified xsi:type="dcterms:W3CDTF">2015-12-21T09:17:00Z</dcterms:modified>
</cp:coreProperties>
</file>