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0266" w:rsidRDefault="00D80266" w:rsidP="00D80266">
      <w:pPr>
        <w:rPr>
          <w:rFonts w:asciiTheme="minorBidi" w:hAnsiTheme="minorBidi" w:cstheme="minorBidi"/>
          <w:b/>
          <w:bCs/>
          <w:sz w:val="28"/>
          <w:szCs w:val="28"/>
        </w:rPr>
      </w:pPr>
      <w:bookmarkStart w:id="0" w:name="_GoBack"/>
      <w:bookmarkEnd w:id="0"/>
    </w:p>
    <w:p w:rsidR="00DF37FB" w:rsidRDefault="00861E53" w:rsidP="00861E53">
      <w:pPr>
        <w:jc w:val="center"/>
        <w:rPr>
          <w:rFonts w:asciiTheme="minorBidi" w:hAnsiTheme="minorBidi" w:cstheme="minorBidi"/>
          <w:b/>
          <w:bCs/>
          <w:sz w:val="28"/>
          <w:szCs w:val="28"/>
        </w:rPr>
      </w:pPr>
      <w:r w:rsidRPr="00861E53">
        <w:rPr>
          <w:rFonts w:asciiTheme="minorBidi" w:hAnsiTheme="minorBidi" w:cstheme="minorBidi"/>
          <w:b/>
          <w:bCs/>
          <w:sz w:val="28"/>
          <w:szCs w:val="28"/>
        </w:rPr>
        <w:t>Résumé</w:t>
      </w:r>
    </w:p>
    <w:p w:rsidR="00D80266" w:rsidRDefault="00D80266" w:rsidP="00861E53">
      <w:pPr>
        <w:jc w:val="center"/>
        <w:rPr>
          <w:rFonts w:asciiTheme="minorBidi" w:hAnsiTheme="minorBidi" w:cstheme="minorBidi"/>
          <w:b/>
          <w:bCs/>
          <w:sz w:val="28"/>
          <w:szCs w:val="28"/>
        </w:rPr>
      </w:pPr>
    </w:p>
    <w:p w:rsidR="00D80266" w:rsidRPr="00D80266" w:rsidRDefault="00D80266" w:rsidP="00886D33">
      <w:pPr>
        <w:spacing w:line="360" w:lineRule="auto"/>
        <w:jc w:val="both"/>
        <w:rPr>
          <w:rFonts w:asciiTheme="minorBidi" w:hAnsiTheme="minorBidi" w:cstheme="minorBidi"/>
          <w:sz w:val="24"/>
          <w:szCs w:val="24"/>
        </w:rPr>
      </w:pPr>
      <w:r w:rsidRPr="00D80266">
        <w:rPr>
          <w:rFonts w:asciiTheme="minorBidi" w:hAnsiTheme="minorBidi" w:cstheme="minorBidi"/>
          <w:sz w:val="24"/>
          <w:szCs w:val="24"/>
        </w:rPr>
        <w:t xml:space="preserve">Une étude de l’aspect microbiologique </w:t>
      </w:r>
      <w:r w:rsidRPr="00D80266">
        <w:rPr>
          <w:rFonts w:asciiTheme="minorBidi" w:hAnsiTheme="minorBidi" w:cstheme="minorBidi"/>
          <w:i/>
          <w:iCs/>
          <w:sz w:val="24"/>
          <w:szCs w:val="24"/>
        </w:rPr>
        <w:t xml:space="preserve">ex-situ </w:t>
      </w:r>
      <w:r w:rsidRPr="00D80266">
        <w:rPr>
          <w:rFonts w:asciiTheme="minorBidi" w:hAnsiTheme="minorBidi" w:cstheme="minorBidi"/>
          <w:sz w:val="24"/>
          <w:szCs w:val="24"/>
        </w:rPr>
        <w:t>de la communauté microbienne de la rhizosphère chez la luzerne commune (</w:t>
      </w:r>
      <w:r w:rsidRPr="00D80266">
        <w:rPr>
          <w:rFonts w:asciiTheme="minorBidi" w:hAnsiTheme="minorBidi" w:cstheme="minorBidi"/>
          <w:i/>
          <w:iCs/>
          <w:sz w:val="24"/>
          <w:szCs w:val="24"/>
        </w:rPr>
        <w:t xml:space="preserve">Medicago sativa </w:t>
      </w:r>
      <w:r w:rsidRPr="00D80266">
        <w:rPr>
          <w:rFonts w:asciiTheme="minorBidi" w:hAnsiTheme="minorBidi" w:cstheme="minorBidi"/>
          <w:sz w:val="24"/>
          <w:szCs w:val="24"/>
        </w:rPr>
        <w:t xml:space="preserve">L.) a été réalisée par le dénombrement des principaux microorganismes et groupements fonctionnels microbiens à travers une comparaison entre des sols </w:t>
      </w:r>
      <w:r w:rsidR="00886D33">
        <w:rPr>
          <w:rFonts w:asciiTheme="minorBidi" w:hAnsiTheme="minorBidi" w:cstheme="minorBidi"/>
          <w:sz w:val="24"/>
          <w:szCs w:val="24"/>
        </w:rPr>
        <w:t>sahariens</w:t>
      </w:r>
      <w:r w:rsidRPr="00D80266">
        <w:rPr>
          <w:rFonts w:asciiTheme="minorBidi" w:hAnsiTheme="minorBidi" w:cstheme="minorBidi"/>
          <w:sz w:val="24"/>
          <w:szCs w:val="24"/>
        </w:rPr>
        <w:t xml:space="preserve"> et oasiens: sol </w:t>
      </w:r>
      <w:r w:rsidR="00886D33">
        <w:rPr>
          <w:rFonts w:asciiTheme="minorBidi" w:hAnsiTheme="minorBidi" w:cstheme="minorBidi"/>
          <w:sz w:val="24"/>
          <w:szCs w:val="24"/>
        </w:rPr>
        <w:t xml:space="preserve">saharien </w:t>
      </w:r>
      <w:r w:rsidRPr="00D80266">
        <w:rPr>
          <w:rFonts w:asciiTheme="minorBidi" w:hAnsiTheme="minorBidi" w:cstheme="minorBidi"/>
          <w:sz w:val="24"/>
          <w:szCs w:val="24"/>
        </w:rPr>
        <w:t xml:space="preserve">nu jamais cultivé, sol </w:t>
      </w:r>
      <w:r w:rsidR="00886D33">
        <w:rPr>
          <w:rFonts w:asciiTheme="minorBidi" w:hAnsiTheme="minorBidi" w:cstheme="minorBidi"/>
          <w:sz w:val="24"/>
          <w:szCs w:val="24"/>
        </w:rPr>
        <w:t>oasien non rhizosphérique</w:t>
      </w:r>
      <w:r w:rsidRPr="00D80266">
        <w:rPr>
          <w:rFonts w:asciiTheme="minorBidi" w:hAnsiTheme="minorBidi" w:cstheme="minorBidi"/>
          <w:sz w:val="24"/>
          <w:szCs w:val="24"/>
        </w:rPr>
        <w:t xml:space="preserve"> et sol </w:t>
      </w:r>
      <w:r w:rsidR="00886D33">
        <w:rPr>
          <w:rFonts w:asciiTheme="minorBidi" w:hAnsiTheme="minorBidi" w:cstheme="minorBidi"/>
          <w:sz w:val="24"/>
          <w:szCs w:val="24"/>
        </w:rPr>
        <w:t xml:space="preserve">oasien </w:t>
      </w:r>
      <w:r w:rsidRPr="00D80266">
        <w:rPr>
          <w:rFonts w:asciiTheme="minorBidi" w:hAnsiTheme="minorBidi" w:cstheme="minorBidi"/>
          <w:sz w:val="24"/>
          <w:szCs w:val="24"/>
        </w:rPr>
        <w:t>rhizosphérique. Nos résultats ont montré une grande diversification microbienne dans les trois types de sol étudié</w:t>
      </w:r>
      <w:r w:rsidR="00BB336A">
        <w:rPr>
          <w:rFonts w:asciiTheme="minorBidi" w:hAnsiTheme="minorBidi" w:cstheme="minorBidi"/>
          <w:sz w:val="24"/>
          <w:szCs w:val="24"/>
        </w:rPr>
        <w:t>s</w:t>
      </w:r>
      <w:r w:rsidRPr="00D80266">
        <w:rPr>
          <w:rFonts w:asciiTheme="minorBidi" w:hAnsiTheme="minorBidi" w:cstheme="minorBidi"/>
          <w:sz w:val="24"/>
          <w:szCs w:val="24"/>
        </w:rPr>
        <w:t xml:space="preserve">, malgré leur faible teneur en eau et les températures élevées auxquelles ils sont exposés. </w:t>
      </w:r>
    </w:p>
    <w:p w:rsidR="00D80266" w:rsidRPr="00D80266" w:rsidRDefault="00D80266" w:rsidP="00D80266">
      <w:pPr>
        <w:spacing w:line="360" w:lineRule="auto"/>
        <w:jc w:val="both"/>
        <w:rPr>
          <w:rFonts w:asciiTheme="minorBidi" w:hAnsiTheme="minorBidi" w:cstheme="minorBidi"/>
          <w:sz w:val="24"/>
          <w:szCs w:val="24"/>
        </w:rPr>
      </w:pPr>
      <w:r w:rsidRPr="00D80266">
        <w:rPr>
          <w:rFonts w:asciiTheme="minorBidi" w:hAnsiTheme="minorBidi" w:cstheme="minorBidi"/>
          <w:sz w:val="24"/>
          <w:szCs w:val="24"/>
        </w:rPr>
        <w:t xml:space="preserve">Nos résultats ont montré un effet remarquable de la rhizosphère de la luzerne sur la densité de la communauté microbienne où nous avons noté des valeurs importantes des bactéries par rapport aux champignons, actinomycètes et algues. Néanmoins, les groupements fixateurs d’azote et dénitrifiants sont les plus favorisés dans la rhizosphère que les autres groupements. </w:t>
      </w:r>
    </w:p>
    <w:p w:rsidR="00D80266" w:rsidRPr="00D80266" w:rsidRDefault="00D80266" w:rsidP="00D80266">
      <w:pPr>
        <w:spacing w:line="360" w:lineRule="auto"/>
        <w:jc w:val="both"/>
        <w:rPr>
          <w:rFonts w:asciiTheme="minorBidi" w:hAnsiTheme="minorBidi" w:cstheme="minorBidi"/>
          <w:sz w:val="24"/>
          <w:szCs w:val="24"/>
        </w:rPr>
      </w:pPr>
      <w:r w:rsidRPr="00D80266">
        <w:rPr>
          <w:rFonts w:asciiTheme="minorBidi" w:hAnsiTheme="minorBidi" w:cstheme="minorBidi"/>
          <w:b/>
          <w:bCs/>
          <w:sz w:val="24"/>
          <w:szCs w:val="24"/>
        </w:rPr>
        <w:t>Mots clé :</w:t>
      </w:r>
      <w:r w:rsidRPr="00D80266">
        <w:rPr>
          <w:rFonts w:asciiTheme="minorBidi" w:hAnsiTheme="minorBidi" w:cstheme="minorBidi"/>
          <w:sz w:val="24"/>
          <w:szCs w:val="24"/>
        </w:rPr>
        <w:t xml:space="preserve"> </w:t>
      </w:r>
      <w:r w:rsidRPr="00BB336A">
        <w:rPr>
          <w:rFonts w:asciiTheme="minorBidi" w:hAnsiTheme="minorBidi" w:cstheme="minorBidi"/>
          <w:i/>
          <w:iCs/>
          <w:sz w:val="24"/>
          <w:szCs w:val="24"/>
        </w:rPr>
        <w:t>Medicago sativa</w:t>
      </w:r>
      <w:r w:rsidR="00BB336A">
        <w:rPr>
          <w:rFonts w:asciiTheme="minorBidi" w:hAnsiTheme="minorBidi" w:cstheme="minorBidi"/>
          <w:sz w:val="24"/>
          <w:szCs w:val="24"/>
        </w:rPr>
        <w:t xml:space="preserve"> </w:t>
      </w:r>
      <w:r w:rsidRPr="00D80266">
        <w:rPr>
          <w:rFonts w:asciiTheme="minorBidi" w:hAnsiTheme="minorBidi" w:cstheme="minorBidi"/>
          <w:sz w:val="24"/>
          <w:szCs w:val="24"/>
        </w:rPr>
        <w:t xml:space="preserve">L., sol oasien, rhizosphère, communautés microbiennes </w:t>
      </w:r>
    </w:p>
    <w:p w:rsidR="00D80266" w:rsidRDefault="00D80266" w:rsidP="00D80266">
      <w:pPr>
        <w:spacing w:line="360" w:lineRule="auto"/>
        <w:rPr>
          <w:sz w:val="23"/>
          <w:szCs w:val="23"/>
        </w:rPr>
      </w:pPr>
    </w:p>
    <w:sectPr w:rsidR="00D80266" w:rsidSect="00085152">
      <w:pgSz w:w="11906" w:h="16838"/>
      <w:pgMar w:top="1417" w:right="991" w:bottom="1417"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proofState w:spelling="clean" w:grammar="clean"/>
  <w:defaultTabStop w:val="708"/>
  <w:hyphenationZone w:val="425"/>
  <w:characterSpacingControl w:val="doNotCompress"/>
  <w:savePreviewPicture/>
  <w:compat>
    <w:compatSetting w:name="compatibilityMode" w:uri="http://schemas.microsoft.com/office/word" w:val="12"/>
  </w:compat>
  <w:rsids>
    <w:rsidRoot w:val="00592F88"/>
    <w:rsid w:val="00024A48"/>
    <w:rsid w:val="00035FCA"/>
    <w:rsid w:val="00056637"/>
    <w:rsid w:val="00085152"/>
    <w:rsid w:val="000E3B10"/>
    <w:rsid w:val="00115F62"/>
    <w:rsid w:val="0012100C"/>
    <w:rsid w:val="0017391F"/>
    <w:rsid w:val="00173D42"/>
    <w:rsid w:val="001A2D2A"/>
    <w:rsid w:val="001B0C24"/>
    <w:rsid w:val="001C4907"/>
    <w:rsid w:val="00256A47"/>
    <w:rsid w:val="00272379"/>
    <w:rsid w:val="00300B5E"/>
    <w:rsid w:val="00307306"/>
    <w:rsid w:val="00394F05"/>
    <w:rsid w:val="003A76F7"/>
    <w:rsid w:val="003C13E2"/>
    <w:rsid w:val="003C177A"/>
    <w:rsid w:val="003C5AF2"/>
    <w:rsid w:val="003E7976"/>
    <w:rsid w:val="003F2944"/>
    <w:rsid w:val="004027A3"/>
    <w:rsid w:val="00422BFF"/>
    <w:rsid w:val="00434C0E"/>
    <w:rsid w:val="00447192"/>
    <w:rsid w:val="00494BCC"/>
    <w:rsid w:val="004977BC"/>
    <w:rsid w:val="004E73B7"/>
    <w:rsid w:val="00520823"/>
    <w:rsid w:val="00541552"/>
    <w:rsid w:val="00566B88"/>
    <w:rsid w:val="00592F88"/>
    <w:rsid w:val="005B4A54"/>
    <w:rsid w:val="0060692B"/>
    <w:rsid w:val="00615F1E"/>
    <w:rsid w:val="00622FE6"/>
    <w:rsid w:val="00630175"/>
    <w:rsid w:val="006570AB"/>
    <w:rsid w:val="00661D9D"/>
    <w:rsid w:val="0067205F"/>
    <w:rsid w:val="006B647C"/>
    <w:rsid w:val="006F4EF1"/>
    <w:rsid w:val="006F7D69"/>
    <w:rsid w:val="00764368"/>
    <w:rsid w:val="00780B2A"/>
    <w:rsid w:val="007A756A"/>
    <w:rsid w:val="00861E53"/>
    <w:rsid w:val="00886D33"/>
    <w:rsid w:val="00891CEF"/>
    <w:rsid w:val="008B08DC"/>
    <w:rsid w:val="008D74EB"/>
    <w:rsid w:val="008F3929"/>
    <w:rsid w:val="00912BE3"/>
    <w:rsid w:val="00954230"/>
    <w:rsid w:val="009D5508"/>
    <w:rsid w:val="009D60EE"/>
    <w:rsid w:val="00A16569"/>
    <w:rsid w:val="00A322A7"/>
    <w:rsid w:val="00AA49CF"/>
    <w:rsid w:val="00AF6994"/>
    <w:rsid w:val="00B01848"/>
    <w:rsid w:val="00BA7AB4"/>
    <w:rsid w:val="00BB336A"/>
    <w:rsid w:val="00BD250C"/>
    <w:rsid w:val="00C01DE4"/>
    <w:rsid w:val="00C57EB2"/>
    <w:rsid w:val="00CB4584"/>
    <w:rsid w:val="00CC2AFA"/>
    <w:rsid w:val="00CD23BB"/>
    <w:rsid w:val="00CD2EAB"/>
    <w:rsid w:val="00CD63F6"/>
    <w:rsid w:val="00CF3D44"/>
    <w:rsid w:val="00D04D6C"/>
    <w:rsid w:val="00D247E5"/>
    <w:rsid w:val="00D60518"/>
    <w:rsid w:val="00D80266"/>
    <w:rsid w:val="00DC2EDE"/>
    <w:rsid w:val="00DC4950"/>
    <w:rsid w:val="00DE4E2C"/>
    <w:rsid w:val="00DF37FB"/>
    <w:rsid w:val="00E20F99"/>
    <w:rsid w:val="00E50598"/>
    <w:rsid w:val="00E66232"/>
    <w:rsid w:val="00E966E6"/>
    <w:rsid w:val="00EC08C3"/>
    <w:rsid w:val="00F11C52"/>
    <w:rsid w:val="00F12106"/>
    <w:rsid w:val="00F4060B"/>
    <w:rsid w:val="00F43DD7"/>
    <w:rsid w:val="00F66051"/>
    <w:rsid w:val="00FA4FFF"/>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61E53"/>
    <w:rPr>
      <w:rFonts w:ascii="Calibri" w:eastAsia="Calibri" w:hAnsi="Calibri" w:cs="Arial"/>
    </w:rPr>
  </w:style>
  <w:style w:type="paragraph" w:styleId="Titre3">
    <w:name w:val="heading 3"/>
    <w:basedOn w:val="Normal"/>
    <w:link w:val="Titre3Car"/>
    <w:uiPriority w:val="9"/>
    <w:qFormat/>
    <w:rsid w:val="003C13E2"/>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Style1">
    <w:name w:val="Style 1"/>
    <w:basedOn w:val="Normal"/>
    <w:uiPriority w:val="99"/>
    <w:rsid w:val="00861E53"/>
    <w:pPr>
      <w:widowControl w:val="0"/>
      <w:autoSpaceDE w:val="0"/>
      <w:autoSpaceDN w:val="0"/>
      <w:adjustRightInd w:val="0"/>
      <w:spacing w:after="0" w:line="240" w:lineRule="auto"/>
    </w:pPr>
    <w:rPr>
      <w:rFonts w:ascii="Times New Roman" w:eastAsia="Times New Roman" w:hAnsi="Times New Roman" w:cs="Times New Roman"/>
      <w:sz w:val="24"/>
      <w:szCs w:val="24"/>
      <w:lang w:eastAsia="fr-FR"/>
    </w:rPr>
  </w:style>
  <w:style w:type="paragraph" w:customStyle="1" w:styleId="Default">
    <w:name w:val="Default"/>
    <w:rsid w:val="00D80266"/>
    <w:pPr>
      <w:autoSpaceDE w:val="0"/>
      <w:autoSpaceDN w:val="0"/>
      <w:adjustRightInd w:val="0"/>
      <w:spacing w:after="0" w:line="240" w:lineRule="auto"/>
    </w:pPr>
    <w:rPr>
      <w:rFonts w:ascii="Arial" w:hAnsi="Arial" w:cs="Arial"/>
      <w:color w:val="000000"/>
      <w:sz w:val="24"/>
      <w:szCs w:val="24"/>
    </w:rPr>
  </w:style>
  <w:style w:type="paragraph" w:styleId="NormalWeb">
    <w:name w:val="Normal (Web)"/>
    <w:basedOn w:val="Normal"/>
    <w:uiPriority w:val="99"/>
    <w:unhideWhenUsed/>
    <w:rsid w:val="003C13E2"/>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3Car">
    <w:name w:val="Titre 3 Car"/>
    <w:basedOn w:val="Policepardfaut"/>
    <w:link w:val="Titre3"/>
    <w:uiPriority w:val="9"/>
    <w:rsid w:val="003C13E2"/>
    <w:rPr>
      <w:rFonts w:ascii="Times New Roman" w:eastAsia="Times New Roman" w:hAnsi="Times New Roman" w:cs="Times New Roman"/>
      <w:b/>
      <w:bCs/>
      <w:sz w:val="27"/>
      <w:szCs w:val="27"/>
      <w:lang w:eastAsia="fr-FR"/>
    </w:rPr>
  </w:style>
  <w:style w:type="character" w:styleId="Accentuation">
    <w:name w:val="Emphasis"/>
    <w:basedOn w:val="Policepardfaut"/>
    <w:uiPriority w:val="20"/>
    <w:qFormat/>
    <w:rsid w:val="003C13E2"/>
    <w:rPr>
      <w:i/>
      <w:iCs/>
    </w:rPr>
  </w:style>
  <w:style w:type="character" w:styleId="Lienhypertexte">
    <w:name w:val="Hyperlink"/>
    <w:basedOn w:val="Policepardfaut"/>
    <w:uiPriority w:val="99"/>
    <w:semiHidden/>
    <w:unhideWhenUsed/>
    <w:rsid w:val="003C13E2"/>
    <w:rPr>
      <w:color w:val="0000FF"/>
      <w:u w:val="single"/>
    </w:rPr>
  </w:style>
  <w:style w:type="character" w:customStyle="1" w:styleId="apple-converted-space">
    <w:name w:val="apple-converted-space"/>
    <w:basedOn w:val="Policepardfaut"/>
    <w:rsid w:val="003C13E2"/>
  </w:style>
  <w:style w:type="table" w:styleId="Grilledutableau">
    <w:name w:val="Table Grid"/>
    <w:basedOn w:val="TableauNormal"/>
    <w:uiPriority w:val="59"/>
    <w:rsid w:val="008F39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fr-FR" w:eastAsia="fr-FR"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68475403">
      <w:bodyDiv w:val="1"/>
      <w:marLeft w:val="0"/>
      <w:marRight w:val="0"/>
      <w:marTop w:val="0"/>
      <w:marBottom w:val="0"/>
      <w:divBdr>
        <w:top w:val="none" w:sz="0" w:space="0" w:color="auto"/>
        <w:left w:val="none" w:sz="0" w:space="0" w:color="auto"/>
        <w:bottom w:val="none" w:sz="0" w:space="0" w:color="auto"/>
        <w:right w:val="none" w:sz="0" w:space="0" w:color="auto"/>
      </w:divBdr>
    </w:div>
    <w:div w:id="945038105">
      <w:bodyDiv w:val="1"/>
      <w:marLeft w:val="0"/>
      <w:marRight w:val="0"/>
      <w:marTop w:val="0"/>
      <w:marBottom w:val="0"/>
      <w:divBdr>
        <w:top w:val="none" w:sz="0" w:space="0" w:color="auto"/>
        <w:left w:val="none" w:sz="0" w:space="0" w:color="auto"/>
        <w:bottom w:val="none" w:sz="0" w:space="0" w:color="auto"/>
        <w:right w:val="none" w:sz="0" w:space="0" w:color="auto"/>
      </w:divBdr>
    </w:div>
    <w:div w:id="970329445">
      <w:bodyDiv w:val="1"/>
      <w:marLeft w:val="0"/>
      <w:marRight w:val="0"/>
      <w:marTop w:val="0"/>
      <w:marBottom w:val="0"/>
      <w:divBdr>
        <w:top w:val="none" w:sz="0" w:space="0" w:color="auto"/>
        <w:left w:val="none" w:sz="0" w:space="0" w:color="auto"/>
        <w:bottom w:val="none" w:sz="0" w:space="0" w:color="auto"/>
        <w:right w:val="none" w:sz="0" w:space="0" w:color="auto"/>
      </w:divBdr>
    </w:div>
    <w:div w:id="1090466307">
      <w:bodyDiv w:val="1"/>
      <w:marLeft w:val="0"/>
      <w:marRight w:val="0"/>
      <w:marTop w:val="0"/>
      <w:marBottom w:val="0"/>
      <w:divBdr>
        <w:top w:val="none" w:sz="0" w:space="0" w:color="auto"/>
        <w:left w:val="none" w:sz="0" w:space="0" w:color="auto"/>
        <w:bottom w:val="none" w:sz="0" w:space="0" w:color="auto"/>
        <w:right w:val="none" w:sz="0" w:space="0" w:color="auto"/>
      </w:divBdr>
    </w:div>
    <w:div w:id="1473014284">
      <w:bodyDiv w:val="1"/>
      <w:marLeft w:val="0"/>
      <w:marRight w:val="0"/>
      <w:marTop w:val="0"/>
      <w:marBottom w:val="0"/>
      <w:divBdr>
        <w:top w:val="none" w:sz="0" w:space="0" w:color="auto"/>
        <w:left w:val="none" w:sz="0" w:space="0" w:color="auto"/>
        <w:bottom w:val="none" w:sz="0" w:space="0" w:color="auto"/>
        <w:right w:val="none" w:sz="0" w:space="0" w:color="auto"/>
      </w:divBdr>
    </w:div>
    <w:div w:id="1482236012">
      <w:bodyDiv w:val="1"/>
      <w:marLeft w:val="0"/>
      <w:marRight w:val="0"/>
      <w:marTop w:val="0"/>
      <w:marBottom w:val="0"/>
      <w:divBdr>
        <w:top w:val="none" w:sz="0" w:space="0" w:color="auto"/>
        <w:left w:val="none" w:sz="0" w:space="0" w:color="auto"/>
        <w:bottom w:val="none" w:sz="0" w:space="0" w:color="auto"/>
        <w:right w:val="none" w:sz="0" w:space="0" w:color="auto"/>
      </w:divBdr>
    </w:div>
    <w:div w:id="1695232295">
      <w:bodyDiv w:val="1"/>
      <w:marLeft w:val="0"/>
      <w:marRight w:val="0"/>
      <w:marTop w:val="0"/>
      <w:marBottom w:val="0"/>
      <w:divBdr>
        <w:top w:val="none" w:sz="0" w:space="0" w:color="auto"/>
        <w:left w:val="none" w:sz="0" w:space="0" w:color="auto"/>
        <w:bottom w:val="none" w:sz="0" w:space="0" w:color="auto"/>
        <w:right w:val="none" w:sz="0" w:space="0" w:color="auto"/>
      </w:divBdr>
    </w:div>
    <w:div w:id="1728721798">
      <w:bodyDiv w:val="1"/>
      <w:marLeft w:val="0"/>
      <w:marRight w:val="0"/>
      <w:marTop w:val="0"/>
      <w:marBottom w:val="0"/>
      <w:divBdr>
        <w:top w:val="none" w:sz="0" w:space="0" w:color="auto"/>
        <w:left w:val="none" w:sz="0" w:space="0" w:color="auto"/>
        <w:bottom w:val="none" w:sz="0" w:space="0" w:color="auto"/>
        <w:right w:val="none" w:sz="0" w:space="0" w:color="auto"/>
      </w:divBdr>
    </w:div>
    <w:div w:id="1944653137">
      <w:bodyDiv w:val="1"/>
      <w:marLeft w:val="0"/>
      <w:marRight w:val="0"/>
      <w:marTop w:val="0"/>
      <w:marBottom w:val="0"/>
      <w:divBdr>
        <w:top w:val="none" w:sz="0" w:space="0" w:color="auto"/>
        <w:left w:val="none" w:sz="0" w:space="0" w:color="auto"/>
        <w:bottom w:val="none" w:sz="0" w:space="0" w:color="auto"/>
        <w:right w:val="none" w:sz="0" w:space="0" w:color="auto"/>
      </w:divBdr>
    </w:div>
    <w:div w:id="21110753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DC4C770-FDA6-4C13-BDBA-71D8E25C63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1887</TotalTime>
  <Pages>1</Pages>
  <Words>161</Words>
  <Characters>889</Characters>
  <Application>Microsoft Office Word</Application>
  <DocSecurity>0</DocSecurity>
  <Lines>7</Lines>
  <Paragraphs>2</Paragraphs>
  <ScaleCrop>false</ScaleCrop>
  <HeadingPairs>
    <vt:vector size="4" baseType="variant">
      <vt:variant>
        <vt:lpstr>Titre</vt:lpstr>
      </vt:variant>
      <vt:variant>
        <vt:i4>1</vt:i4>
      </vt:variant>
      <vt:variant>
        <vt:lpstr>Titres</vt:lpstr>
      </vt:variant>
      <vt:variant>
        <vt:i4>7</vt:i4>
      </vt:variant>
    </vt:vector>
  </HeadingPairs>
  <TitlesOfParts>
    <vt:vector size="8" baseType="lpstr">
      <vt:lpstr/>
      <vt:lpstr>        ARDRA: Amplified Ribosomal DNA Restriction Analysis</vt:lpstr>
      <vt:lpstr>        REP-PCR: Repetitive Sequence-Based Polymérase Chain Reaction</vt:lpstr>
      <vt:lpstr>        RFLP : Restriction fragment length polymorphism</vt:lpstr>
      <vt:lpstr>        RISA : Ribosomal Intergenic Spacer analysis</vt:lpstr>
      <vt:lpstr>        TGGE: Temperature gradient gel electrophoresis</vt:lpstr>
      <vt:lpstr>        T-RFLP : Terminal restriction fragment length polymorphism</vt:lpstr>
      <vt:lpstr>        TSA : Trypticase soy agar</vt:lpstr>
    </vt:vector>
  </TitlesOfParts>
  <Company/>
  <LinksUpToDate>false</LinksUpToDate>
  <CharactersWithSpaces>1048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PEPINO</cp:lastModifiedBy>
  <cp:revision>33</cp:revision>
  <cp:lastPrinted>2015-01-29T00:33:00Z</cp:lastPrinted>
  <dcterms:created xsi:type="dcterms:W3CDTF">2014-11-17T11:47:00Z</dcterms:created>
  <dcterms:modified xsi:type="dcterms:W3CDTF">2015-02-07T22:02:00Z</dcterms:modified>
</cp:coreProperties>
</file>