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178D" w:rsidRDefault="0065178D">
      <w:pPr>
        <w:rPr>
          <w:u w:val="single"/>
        </w:rPr>
      </w:pPr>
    </w:p>
    <w:p w:rsidR="0065178D" w:rsidRDefault="0065178D">
      <w:pPr>
        <w:rPr>
          <w:u w:val="single"/>
        </w:rPr>
      </w:pPr>
    </w:p>
    <w:p w:rsidR="0065178D" w:rsidRDefault="0065178D">
      <w:pPr>
        <w:rPr>
          <w:u w:val="single"/>
        </w:rPr>
      </w:pPr>
    </w:p>
    <w:p w:rsidR="0065178D" w:rsidRDefault="0065178D">
      <w:pPr>
        <w:rPr>
          <w:u w:val="single"/>
        </w:rPr>
      </w:pPr>
    </w:p>
    <w:p w:rsidR="009740B0" w:rsidRPr="009D416A" w:rsidRDefault="009D416A">
      <w:pPr>
        <w:rPr>
          <w:u w:val="single"/>
        </w:rPr>
      </w:pPr>
      <w:r w:rsidRPr="009D416A">
        <w:rPr>
          <w:u w:val="single"/>
        </w:rPr>
        <w:t>Résumé :</w:t>
      </w:r>
    </w:p>
    <w:p w:rsidR="009D416A" w:rsidRDefault="009D416A" w:rsidP="009D416A">
      <w:pPr>
        <w:autoSpaceDE w:val="0"/>
        <w:autoSpaceDN w:val="0"/>
        <w:adjustRightInd w:val="0"/>
        <w:spacing w:after="0" w:line="240" w:lineRule="auto"/>
        <w:jc w:val="center"/>
        <w:rPr>
          <w:rFonts w:ascii="URWPalladioL-Bold" w:hAnsi="URWPalladioL-Bold" w:cs="URWPalladioL-Bold"/>
          <w:b/>
          <w:bCs/>
          <w:sz w:val="24"/>
          <w:szCs w:val="24"/>
        </w:rPr>
      </w:pPr>
      <w:r>
        <w:rPr>
          <w:rFonts w:ascii="URWPalladioL-Bold" w:hAnsi="URWPalladioL-Bold" w:cs="URWPalladioL-Bold"/>
          <w:b/>
          <w:bCs/>
          <w:sz w:val="24"/>
          <w:szCs w:val="24"/>
        </w:rPr>
        <w:t>Combinatoire bijective des pavages et des partitions</w:t>
      </w:r>
    </w:p>
    <w:p w:rsidR="009D416A" w:rsidRDefault="009D416A" w:rsidP="009D416A">
      <w:pPr>
        <w:autoSpaceDE w:val="0"/>
        <w:autoSpaceDN w:val="0"/>
        <w:adjustRightInd w:val="0"/>
        <w:spacing w:after="0" w:line="240" w:lineRule="auto"/>
        <w:rPr>
          <w:rFonts w:ascii="URWPalladioL-Bold" w:hAnsi="URWPalladioL-Bold" w:cs="URWPalladioL-Bold"/>
          <w:b/>
          <w:bCs/>
          <w:sz w:val="24"/>
          <w:szCs w:val="24"/>
        </w:rPr>
      </w:pPr>
    </w:p>
    <w:p w:rsidR="009D416A" w:rsidRDefault="009D416A" w:rsidP="009D416A">
      <w:pPr>
        <w:autoSpaceDE w:val="0"/>
        <w:autoSpaceDN w:val="0"/>
        <w:adjustRightInd w:val="0"/>
        <w:spacing w:after="0" w:line="240" w:lineRule="auto"/>
        <w:rPr>
          <w:rFonts w:ascii="URWPalladioL-Bold" w:hAnsi="URWPalladioL-Bold" w:cs="URWPalladioL-Bold"/>
          <w:b/>
          <w:bCs/>
          <w:sz w:val="24"/>
          <w:szCs w:val="24"/>
        </w:rPr>
      </w:pPr>
    </w:p>
    <w:p w:rsidR="009D416A" w:rsidRDefault="009D416A" w:rsidP="009D416A">
      <w:pPr>
        <w:autoSpaceDE w:val="0"/>
        <w:autoSpaceDN w:val="0"/>
        <w:adjustRightInd w:val="0"/>
        <w:spacing w:after="0" w:line="240" w:lineRule="auto"/>
        <w:jc w:val="both"/>
        <w:rPr>
          <w:rFonts w:ascii="URWPalladioL-Roma" w:hAnsi="URWPalladioL-Roma" w:cs="URWPalladioL-Roma"/>
        </w:rPr>
      </w:pPr>
      <w:r>
        <w:rPr>
          <w:rFonts w:ascii="URWPalladioL-Roma" w:hAnsi="URWPalladioL-Roma" w:cs="URWPalladioL-Roma"/>
        </w:rPr>
        <w:t>Cette thèse se situe dans le domaine de la combinatoire énumérative, elle porte sur l’étude de deux importantes structures combinatoires : les pavages linéaires et les partitions ordonnées.</w:t>
      </w:r>
    </w:p>
    <w:p w:rsidR="009D416A" w:rsidRDefault="009D416A" w:rsidP="009D416A">
      <w:pPr>
        <w:autoSpaceDE w:val="0"/>
        <w:autoSpaceDN w:val="0"/>
        <w:adjustRightInd w:val="0"/>
        <w:spacing w:after="0" w:line="240" w:lineRule="auto"/>
        <w:jc w:val="both"/>
        <w:rPr>
          <w:rFonts w:ascii="URWPalladioL-Roma" w:hAnsi="URWPalladioL-Roma" w:cs="URWPalladioL-Roma"/>
        </w:rPr>
      </w:pPr>
      <w:r>
        <w:rPr>
          <w:rFonts w:ascii="URWPalladioL-Roma" w:hAnsi="URWPalladioL-Roma" w:cs="URWPalladioL-Roma"/>
        </w:rPr>
        <w:t>Dans la première partie, nous proposons une interprétation combinatoire de la suite incomplète de Fibonacci et de la suite hyper-Fibonacci en termes des pavages restreints.</w:t>
      </w:r>
    </w:p>
    <w:p w:rsidR="009D416A" w:rsidRDefault="009D416A" w:rsidP="009D416A">
      <w:pPr>
        <w:autoSpaceDE w:val="0"/>
        <w:autoSpaceDN w:val="0"/>
        <w:adjustRightInd w:val="0"/>
        <w:spacing w:after="0" w:line="240" w:lineRule="auto"/>
        <w:jc w:val="both"/>
        <w:rPr>
          <w:rFonts w:ascii="URWPalladioL-Roma" w:hAnsi="URWPalladioL-Roma" w:cs="URWPalladioL-Roma"/>
        </w:rPr>
      </w:pPr>
      <w:r>
        <w:rPr>
          <w:rFonts w:ascii="URWPalladioL-Roma" w:hAnsi="URWPalladioL-Roma" w:cs="URWPalladioL-Roma"/>
        </w:rPr>
        <w:t xml:space="preserve">Nous décrivons une bijection entre les polyominos dirigés verticalement convexes et les mots d’un alphabet issu des pavages linéaires, cette bijection nous a permis de construire et de compter les polyominos verticalement convexes dirigés selon les paramètres aire, nombre de colonnes et hauteur. Il s’avère que cette méthode reste valable pour d’autres classes de polyominos convexe et dirigés tels que : les polyominos parallélogramme, diagrammes de Ferrer, polyominos tas. Ensuite, nous étudions une approche unifiée des </w:t>
      </w:r>
      <w:r>
        <w:rPr>
          <w:rFonts w:ascii="URWPalladioL-Ital" w:hAnsi="URWPalladioL-Ital" w:cs="URWPalladioL-Ital"/>
        </w:rPr>
        <w:t>q</w:t>
      </w:r>
      <w:r>
        <w:rPr>
          <w:rFonts w:ascii="URWPalladioL-Roma" w:hAnsi="URWPalladioL-Roma" w:cs="URWPalladioL-Roma"/>
        </w:rPr>
        <w:t>-polynômes de Fibonacci bivarié par la distribution d’une statistique sur l’ensemble des pavages linéaires.</w:t>
      </w:r>
    </w:p>
    <w:p w:rsidR="009D416A" w:rsidRDefault="009D416A" w:rsidP="009D416A">
      <w:pPr>
        <w:autoSpaceDE w:val="0"/>
        <w:autoSpaceDN w:val="0"/>
        <w:adjustRightInd w:val="0"/>
        <w:spacing w:after="0" w:line="240" w:lineRule="auto"/>
        <w:jc w:val="both"/>
        <w:rPr>
          <w:rFonts w:ascii="URWPalladioL-Roma" w:hAnsi="URWPalladioL-Roma" w:cs="URWPalladioL-Roma"/>
        </w:rPr>
      </w:pPr>
    </w:p>
    <w:p w:rsidR="009D416A" w:rsidRDefault="009D416A" w:rsidP="009D416A">
      <w:pPr>
        <w:autoSpaceDE w:val="0"/>
        <w:autoSpaceDN w:val="0"/>
        <w:adjustRightInd w:val="0"/>
        <w:spacing w:after="0" w:line="240" w:lineRule="auto"/>
        <w:jc w:val="both"/>
        <w:rPr>
          <w:rFonts w:ascii="URWPalladioL-Roma" w:hAnsi="URWPalladioL-Roma" w:cs="URWPalladioL-Roma"/>
        </w:rPr>
      </w:pPr>
      <w:r>
        <w:rPr>
          <w:rFonts w:ascii="URWPalladioL-Roma" w:hAnsi="URWPalladioL-Roma" w:cs="URWPalladioL-Roma"/>
        </w:rPr>
        <w:t xml:space="preserve"> La seconde partie est consacrée à l’étude des propriétés combinatoires des nombres </w:t>
      </w:r>
      <w:r>
        <w:rPr>
          <w:rFonts w:ascii="URWPalladioL-Ital" w:hAnsi="URWPalladioL-Ital" w:cs="URWPalladioL-Ital"/>
        </w:rPr>
        <w:t>r</w:t>
      </w:r>
      <w:r>
        <w:rPr>
          <w:rFonts w:ascii="URWPalladioL-Roma" w:hAnsi="URWPalladioL-Roma" w:cs="URWPalladioL-Roma"/>
        </w:rPr>
        <w:t xml:space="preserve">-Lah. A l’aide de leur interprétation combinatoire en termes de partitions d’ensembles ordonnés nous établissons différentes relations de récurrence et les formes explicites associées, nous proposons également un modèle combinatoire pour interpréter une généralisation des nombres </w:t>
      </w:r>
      <w:r>
        <w:rPr>
          <w:rFonts w:ascii="URWPalladioL-Ital" w:hAnsi="URWPalladioL-Ital" w:cs="URWPalladioL-Ital"/>
        </w:rPr>
        <w:t>r</w:t>
      </w:r>
      <w:r>
        <w:rPr>
          <w:rFonts w:ascii="URWPalladioL-Roma" w:hAnsi="URWPalladioL-Roma" w:cs="URWPalladioL-Roma"/>
        </w:rPr>
        <w:t xml:space="preserve">-Lah. Enfin, nous prolongeons le modèle de Garsia et Remmel pour introduire les </w:t>
      </w:r>
      <w:r>
        <w:rPr>
          <w:rFonts w:ascii="URWPalladioL-Ital" w:hAnsi="URWPalladioL-Ital" w:cs="URWPalladioL-Ital"/>
        </w:rPr>
        <w:t xml:space="preserve">q </w:t>
      </w:r>
      <w:r>
        <w:rPr>
          <w:rFonts w:ascii="URWPalladioL-Roma" w:hAnsi="URWPalladioL-Roma" w:cs="URWPalladioL-Roma"/>
        </w:rPr>
        <w:t xml:space="preserve">et </w:t>
      </w:r>
      <w:r>
        <w:rPr>
          <w:rFonts w:ascii="URWPalladioL-Ital" w:hAnsi="URWPalladioL-Ital" w:cs="URWPalladioL-Ital"/>
        </w:rPr>
        <w:t>p</w:t>
      </w:r>
      <w:r>
        <w:rPr>
          <w:rFonts w:ascii="URWPalladioL-Roma" w:hAnsi="URWPalladioL-Roma" w:cs="URWPalladioL-Roma"/>
        </w:rPr>
        <w:t xml:space="preserve">, </w:t>
      </w:r>
      <w:r>
        <w:rPr>
          <w:rFonts w:ascii="URWPalladioL-Ital" w:hAnsi="URWPalladioL-Ital" w:cs="URWPalladioL-Ital"/>
        </w:rPr>
        <w:t>q</w:t>
      </w:r>
      <w:r>
        <w:rPr>
          <w:rFonts w:ascii="URWPalladioL-Roma" w:hAnsi="URWPalladioL-Roma" w:cs="URWPalladioL-Roma"/>
        </w:rPr>
        <w:t xml:space="preserve">-analogues des nombres </w:t>
      </w:r>
      <w:r>
        <w:rPr>
          <w:rFonts w:ascii="URWPalladioL-Ital" w:hAnsi="URWPalladioL-Ital" w:cs="URWPalladioL-Ital"/>
        </w:rPr>
        <w:t>r</w:t>
      </w:r>
      <w:r>
        <w:rPr>
          <w:rFonts w:ascii="URWPalladioL-Roma" w:hAnsi="URWPalladioL-Roma" w:cs="URWPalladioL-Roma"/>
        </w:rPr>
        <w:t>-Lah par la distribution conjointe des statistiques "</w:t>
      </w:r>
      <w:r>
        <w:rPr>
          <w:rFonts w:ascii="URWPalladioL-Ital" w:hAnsi="URWPalladioL-Ital" w:cs="URWPalladioL-Ital"/>
        </w:rPr>
        <w:t>nombre d’inversions</w:t>
      </w:r>
      <w:r>
        <w:rPr>
          <w:rFonts w:ascii="URWPalladioL-Roma" w:hAnsi="URWPalladioL-Roma" w:cs="URWPalladioL-Roma"/>
        </w:rPr>
        <w:t xml:space="preserve">" et </w:t>
      </w:r>
      <w:r>
        <w:rPr>
          <w:rFonts w:ascii="URWPalladioL-Ital" w:hAnsi="URWPalladioL-Ital" w:cs="URWPalladioL-Ital"/>
        </w:rPr>
        <w:t xml:space="preserve">"nombre de co-inversions" </w:t>
      </w:r>
      <w:r>
        <w:rPr>
          <w:rFonts w:ascii="URWPalladioL-Roma" w:hAnsi="URWPalladioL-Roma" w:cs="URWPalladioL-Roma"/>
        </w:rPr>
        <w:t>sur les mots associés aux partitions ordonnées.</w:t>
      </w:r>
    </w:p>
    <w:p w:rsidR="009D416A" w:rsidRDefault="009D416A" w:rsidP="009D416A">
      <w:pPr>
        <w:autoSpaceDE w:val="0"/>
        <w:autoSpaceDN w:val="0"/>
        <w:adjustRightInd w:val="0"/>
        <w:spacing w:after="0" w:line="240" w:lineRule="auto"/>
        <w:rPr>
          <w:rFonts w:ascii="URWPalladioL-Bold" w:hAnsi="URWPalladioL-Bold" w:cs="URWPalladioL-Bold"/>
          <w:b/>
          <w:bCs/>
          <w:sz w:val="24"/>
          <w:szCs w:val="24"/>
        </w:rPr>
      </w:pPr>
    </w:p>
    <w:p w:rsidR="009D416A" w:rsidRDefault="009D416A" w:rsidP="009D416A">
      <w:pPr>
        <w:autoSpaceDE w:val="0"/>
        <w:autoSpaceDN w:val="0"/>
        <w:adjustRightInd w:val="0"/>
        <w:spacing w:after="0" w:line="240" w:lineRule="auto"/>
        <w:rPr>
          <w:rFonts w:ascii="URWPalladioL-Bold" w:hAnsi="URWPalladioL-Bold" w:cs="URWPalladioL-Bold"/>
          <w:b/>
          <w:bCs/>
          <w:sz w:val="24"/>
          <w:szCs w:val="24"/>
        </w:rPr>
      </w:pPr>
    </w:p>
    <w:p w:rsidR="009D416A" w:rsidRDefault="009D416A" w:rsidP="009D416A">
      <w:pPr>
        <w:autoSpaceDE w:val="0"/>
        <w:autoSpaceDN w:val="0"/>
        <w:adjustRightInd w:val="0"/>
        <w:spacing w:after="0" w:line="240" w:lineRule="auto"/>
        <w:rPr>
          <w:rFonts w:ascii="URWPalladioL-Bold" w:hAnsi="URWPalladioL-Bold" w:cs="URWPalladioL-Bold"/>
          <w:b/>
          <w:bCs/>
          <w:sz w:val="24"/>
          <w:szCs w:val="24"/>
        </w:rPr>
      </w:pPr>
    </w:p>
    <w:sectPr w:rsidR="009D416A" w:rsidSect="009740B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URWPalladioL-Bold">
    <w:altName w:val="Times New Roman"/>
    <w:panose1 w:val="00000000000000000000"/>
    <w:charset w:val="00"/>
    <w:family w:val="auto"/>
    <w:notTrueType/>
    <w:pitch w:val="default"/>
    <w:sig w:usb0="00000003" w:usb1="00000000" w:usb2="00000000" w:usb3="00000000" w:csb0="00000001" w:csb1="00000000"/>
  </w:font>
  <w:font w:name="URWPalladioL-Roma">
    <w:altName w:val="Times New Roman"/>
    <w:panose1 w:val="00000000000000000000"/>
    <w:charset w:val="00"/>
    <w:family w:val="auto"/>
    <w:notTrueType/>
    <w:pitch w:val="default"/>
    <w:sig w:usb0="00000003" w:usb1="00000000" w:usb2="00000000" w:usb3="00000000" w:csb0="00000001" w:csb1="00000000"/>
  </w:font>
  <w:font w:name="URWPalladioL-Ital">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D416A"/>
    <w:rsid w:val="0022282D"/>
    <w:rsid w:val="0065178D"/>
    <w:rsid w:val="009740B0"/>
    <w:rsid w:val="009D416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40B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253</Words>
  <Characters>1446</Characters>
  <Application>Microsoft Office Word</Application>
  <DocSecurity>0</DocSecurity>
  <Lines>12</Lines>
  <Paragraphs>3</Paragraphs>
  <ScaleCrop>false</ScaleCrop>
  <Company>Microsoft</Company>
  <LinksUpToDate>false</LinksUpToDate>
  <CharactersWithSpaces>1696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AMINE</dc:creator>
  <cp:lastModifiedBy>traitement</cp:lastModifiedBy>
  <cp:revision>2</cp:revision>
  <dcterms:created xsi:type="dcterms:W3CDTF">2016-11-21T10:13:00Z</dcterms:created>
  <dcterms:modified xsi:type="dcterms:W3CDTF">2017-01-30T13:41:00Z</dcterms:modified>
</cp:coreProperties>
</file>