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Etude de la désintégration des noyaux lourds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par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émission de particules alpha et de clusters</w:t>
      </w:r>
      <w:r>
        <w:rPr>
          <w:rFonts w:ascii="Times New Roman" w:hAnsi="Times New Roman" w:cs="Times New Roman"/>
          <w:b/>
          <w:bCs/>
          <w:sz w:val="18"/>
          <w:szCs w:val="18"/>
        </w:rPr>
        <w:t>*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SAIDI </w:t>
      </w:r>
      <w:proofErr w:type="spellStart"/>
      <w:r>
        <w:rPr>
          <w:rFonts w:ascii="Times New Roman" w:hAnsi="Times New Roman" w:cs="Times New Roman"/>
          <w:sz w:val="24"/>
          <w:szCs w:val="24"/>
        </w:rPr>
        <w:t>Faiza</w:t>
      </w:r>
      <w:proofErr w:type="spellEnd"/>
      <w:r>
        <w:rPr>
          <w:rFonts w:ascii="Times New Roman" w:hAnsi="Times New Roman" w:cs="Times New Roman"/>
          <w:sz w:val="16"/>
          <w:szCs w:val="16"/>
        </w:rPr>
        <w:t>**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Laboratoire de Physique Théorique, Faculté de Physique, USTHB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3F1DE0" w:rsidRP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1DE0"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présent travail porte sur l'étude de la stabilité des noyaux lourds et super-lourds par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rapport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à l'émission de particules alpha et de clusters. Il repose sur l'évaluation du logarithme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décimal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 la demi-vie des noyaux, dans le cadre de l’approximation WKB, en se basant sur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modèle du potentiel coulombien et de proximité. Le processus de la désintégration est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considéré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comme un phénomène de pénétration, par effet tunnel, d’une barrière de potentiel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que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rencontre le noyau émis. La barrière est obtenue par la contribution de l'énergie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centrifuge</w:t>
      </w:r>
      <w:proofErr w:type="gramEnd"/>
      <w:r>
        <w:rPr>
          <w:rFonts w:ascii="Times New Roman" w:hAnsi="Times New Roman" w:cs="Times New Roman"/>
          <w:sz w:val="24"/>
          <w:szCs w:val="24"/>
        </w:rPr>
        <w:t>, de l'énergie coulombienne répulsive entre le noyau fils et émis et de l'interaction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nucléaire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entre ces deux noyaux. Cette dernière est considérée sous la forme d’un potentiel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modifié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 Wood-Saxon. Dans un premier temps, le modèle a été appliqué à la désintégration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alpha</w:t>
      </w:r>
      <w:proofErr w:type="gramEnd"/>
      <w:r>
        <w:rPr>
          <w:rFonts w:ascii="Times New Roman" w:hAnsi="Times New Roman" w:cs="Times New Roman"/>
          <w:sz w:val="24"/>
          <w:szCs w:val="24"/>
        </w:rPr>
        <w:t>. Les calculs numériques ont été réalisés pour plus de 400 noyaux lourds et super-lourds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avec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et sans prise en compte de la déformation du noyau fils. Les calculs ont été également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effectués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dans le cadre de deux modèles semi-empiriques : l'approximation de Viola-Seaborg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et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la formule de Brown. Le présent modèle a été appliqué par la suite à plus de 300 noyaux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situés dans la région du plomb (Z≥87) dans le cas de l’émission des clusters </w:t>
      </w:r>
      <w:r>
        <w:rPr>
          <w:rFonts w:ascii="Times New Roman" w:hAnsi="Times New Roman" w:cs="Times New Roman"/>
          <w:sz w:val="16"/>
          <w:szCs w:val="16"/>
        </w:rPr>
        <w:t>14</w:t>
      </w:r>
      <w:r>
        <w:rPr>
          <w:rFonts w:ascii="Times New Roman" w:hAnsi="Times New Roman" w:cs="Times New Roman"/>
          <w:sz w:val="24"/>
          <w:szCs w:val="24"/>
        </w:rPr>
        <w:t xml:space="preserve">C, </w:t>
      </w:r>
      <w:r>
        <w:rPr>
          <w:rFonts w:ascii="Times New Roman" w:hAnsi="Times New Roman" w:cs="Times New Roman"/>
          <w:sz w:val="16"/>
          <w:szCs w:val="16"/>
        </w:rPr>
        <w:t>18</w:t>
      </w:r>
      <w:proofErr w:type="gramStart"/>
      <w:r>
        <w:rPr>
          <w:rFonts w:ascii="Times New Roman" w:hAnsi="Times New Roman" w:cs="Times New Roman"/>
          <w:sz w:val="16"/>
          <w:szCs w:val="16"/>
        </w:rPr>
        <w:t>,20,22</w:t>
      </w:r>
      <w:r>
        <w:rPr>
          <w:rFonts w:ascii="Times New Roman" w:hAnsi="Times New Roman" w:cs="Times New Roman"/>
          <w:sz w:val="24"/>
          <w:szCs w:val="24"/>
        </w:rPr>
        <w:t>O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6"/>
          <w:szCs w:val="16"/>
        </w:rPr>
        <w:t>22</w:t>
      </w:r>
      <w:proofErr w:type="gramStart"/>
      <w:r>
        <w:rPr>
          <w:rFonts w:ascii="Times New Roman" w:hAnsi="Times New Roman" w:cs="Times New Roman"/>
          <w:sz w:val="16"/>
          <w:szCs w:val="16"/>
        </w:rPr>
        <w:t>,24,26</w:t>
      </w:r>
      <w:r>
        <w:rPr>
          <w:rFonts w:ascii="Times New Roman" w:hAnsi="Times New Roman" w:cs="Times New Roman"/>
          <w:sz w:val="24"/>
          <w:szCs w:val="24"/>
        </w:rPr>
        <w:t>Ne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et </w:t>
      </w:r>
      <w:r>
        <w:rPr>
          <w:rFonts w:ascii="Times New Roman" w:hAnsi="Times New Roman" w:cs="Times New Roman"/>
          <w:sz w:val="16"/>
          <w:szCs w:val="16"/>
        </w:rPr>
        <w:t>28,30</w:t>
      </w:r>
      <w:r>
        <w:rPr>
          <w:rFonts w:ascii="Times New Roman" w:hAnsi="Times New Roman" w:cs="Times New Roman"/>
          <w:sz w:val="24"/>
          <w:szCs w:val="24"/>
        </w:rPr>
        <w:t>Mg. Les demi-vies obtenues ont été comparées à celles évaluées dans le cadre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du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modèle du potentiel coulombien et de proximité de </w:t>
      </w:r>
      <w:proofErr w:type="spellStart"/>
      <w:r>
        <w:rPr>
          <w:rFonts w:ascii="Times New Roman" w:hAnsi="Times New Roman" w:cs="Times New Roman"/>
          <w:sz w:val="24"/>
          <w:szCs w:val="24"/>
        </w:rPr>
        <w:t>Santhosh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ainsi qu'aux valeurs calculées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par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 formules semi-empiriques. Il a été établi que l'inclusion de la déformation du noyau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fils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et de l'angle d'orientation modifie considérablement l’énergie d'interaction entre le cluster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et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le noyau résiduel. La précision du présent modèle, avec ou sans prise en compte la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déformation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quadrupolaire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des noyaux fils, a été vérifiée et comparée à celle de quatre autres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approches</w:t>
      </w:r>
      <w:proofErr w:type="gramEnd"/>
      <w:r>
        <w:rPr>
          <w:rFonts w:ascii="Times New Roman" w:hAnsi="Times New Roman" w:cs="Times New Roman"/>
          <w:sz w:val="24"/>
          <w:szCs w:val="24"/>
        </w:rPr>
        <w:t>. Il a été montré que dans la région considérée de la table de masses, l'émission d'un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cluster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léger tel que le </w:t>
      </w:r>
      <w:r>
        <w:rPr>
          <w:rFonts w:ascii="Times New Roman" w:hAnsi="Times New Roman" w:cs="Times New Roman"/>
          <w:sz w:val="16"/>
          <w:szCs w:val="16"/>
        </w:rPr>
        <w:t>14</w:t>
      </w:r>
      <w:r>
        <w:rPr>
          <w:rFonts w:ascii="Times New Roman" w:hAnsi="Times New Roman" w:cs="Times New Roman"/>
          <w:sz w:val="24"/>
          <w:szCs w:val="24"/>
        </w:rPr>
        <w:t>C est la plus favorable. L'étude de la désintégration alpha et cluster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des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noyaux lourds et super-lourds, réalisée dans cette thèse, montre l'amélioration apportée au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modèle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du potentiel coulombien et de proximité par l’introduction d’un potentiel nucléaire du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type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Wood-Saxon.</w:t>
      </w: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F1DE0" w:rsidRDefault="003F1DE0" w:rsidP="003F1D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3F1DE0" w:rsidSect="00E907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1DE0"/>
    <w:rsid w:val="0027315E"/>
    <w:rsid w:val="00360B50"/>
    <w:rsid w:val="003F1DE0"/>
    <w:rsid w:val="005975B7"/>
    <w:rsid w:val="008F2672"/>
    <w:rsid w:val="00A53C77"/>
    <w:rsid w:val="00E907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07E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364</Words>
  <Characters>2077</Characters>
  <Application>Microsoft Office Word</Application>
  <DocSecurity>0</DocSecurity>
  <Lines>17</Lines>
  <Paragraphs>4</Paragraphs>
  <ScaleCrop>false</ScaleCrop>
  <Company/>
  <LinksUpToDate>false</LinksUpToDate>
  <CharactersWithSpaces>2437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Poste22</dc:creator>
  <cp:lastModifiedBy>traitement</cp:lastModifiedBy>
  <cp:revision>3</cp:revision>
  <dcterms:created xsi:type="dcterms:W3CDTF">2016-12-18T12:28:00Z</dcterms:created>
  <dcterms:modified xsi:type="dcterms:W3CDTF">2016-12-18T12:28:00Z</dcterms:modified>
</cp:coreProperties>
</file>