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1B47" w:rsidRDefault="00A81B47" w:rsidP="001726E8">
      <w:pPr>
        <w:autoSpaceDE w:val="0"/>
        <w:autoSpaceDN w:val="0"/>
        <w:adjustRightInd w:val="0"/>
        <w:spacing w:after="0" w:line="240" w:lineRule="auto"/>
        <w:jc w:val="center"/>
        <w:rPr>
          <w:rFonts w:ascii="Times New Roman" w:hAnsi="Times New Roman" w:cs="Times New Roman"/>
          <w:b/>
          <w:bCs/>
          <w:sz w:val="24"/>
          <w:szCs w:val="24"/>
        </w:rPr>
      </w:pPr>
    </w:p>
    <w:p w:rsidR="00A81B47" w:rsidRDefault="00A81B47" w:rsidP="001726E8">
      <w:pPr>
        <w:autoSpaceDE w:val="0"/>
        <w:autoSpaceDN w:val="0"/>
        <w:adjustRightInd w:val="0"/>
        <w:spacing w:after="0" w:line="240" w:lineRule="auto"/>
        <w:jc w:val="center"/>
        <w:rPr>
          <w:rFonts w:ascii="Times New Roman" w:hAnsi="Times New Roman" w:cs="Times New Roman"/>
          <w:b/>
          <w:bCs/>
          <w:sz w:val="24"/>
          <w:szCs w:val="24"/>
        </w:rPr>
      </w:pPr>
    </w:p>
    <w:p w:rsidR="00A81B47" w:rsidRDefault="00A81B47" w:rsidP="001726E8">
      <w:pPr>
        <w:autoSpaceDE w:val="0"/>
        <w:autoSpaceDN w:val="0"/>
        <w:adjustRightInd w:val="0"/>
        <w:spacing w:after="0" w:line="240" w:lineRule="auto"/>
        <w:jc w:val="center"/>
        <w:rPr>
          <w:rFonts w:ascii="Times New Roman" w:hAnsi="Times New Roman" w:cs="Times New Roman"/>
          <w:b/>
          <w:bCs/>
          <w:sz w:val="24"/>
          <w:szCs w:val="24"/>
        </w:rPr>
      </w:pPr>
    </w:p>
    <w:p w:rsidR="00A81B47" w:rsidRDefault="00A81B47" w:rsidP="001726E8">
      <w:pPr>
        <w:autoSpaceDE w:val="0"/>
        <w:autoSpaceDN w:val="0"/>
        <w:adjustRightInd w:val="0"/>
        <w:spacing w:after="0" w:line="240" w:lineRule="auto"/>
        <w:jc w:val="center"/>
        <w:rPr>
          <w:rFonts w:ascii="Times New Roman" w:hAnsi="Times New Roman" w:cs="Times New Roman"/>
          <w:b/>
          <w:bCs/>
          <w:sz w:val="24"/>
          <w:szCs w:val="24"/>
        </w:rPr>
      </w:pPr>
    </w:p>
    <w:p w:rsidR="00A81B47" w:rsidRDefault="00A81B47" w:rsidP="001726E8">
      <w:pPr>
        <w:autoSpaceDE w:val="0"/>
        <w:autoSpaceDN w:val="0"/>
        <w:adjustRightInd w:val="0"/>
        <w:spacing w:after="0" w:line="240" w:lineRule="auto"/>
        <w:jc w:val="center"/>
        <w:rPr>
          <w:rFonts w:ascii="Times New Roman" w:hAnsi="Times New Roman" w:cs="Times New Roman"/>
          <w:b/>
          <w:bCs/>
          <w:sz w:val="24"/>
          <w:szCs w:val="24"/>
        </w:rPr>
      </w:pPr>
    </w:p>
    <w:p w:rsidR="00A81B47" w:rsidRDefault="00A81B47" w:rsidP="001726E8">
      <w:pPr>
        <w:autoSpaceDE w:val="0"/>
        <w:autoSpaceDN w:val="0"/>
        <w:adjustRightInd w:val="0"/>
        <w:spacing w:after="0" w:line="240" w:lineRule="auto"/>
        <w:jc w:val="center"/>
        <w:rPr>
          <w:rFonts w:ascii="Times New Roman" w:hAnsi="Times New Roman" w:cs="Times New Roman"/>
          <w:b/>
          <w:bCs/>
          <w:sz w:val="24"/>
          <w:szCs w:val="24"/>
        </w:rPr>
      </w:pPr>
    </w:p>
    <w:p w:rsidR="00A81B47" w:rsidRDefault="00A81B47" w:rsidP="001726E8">
      <w:pPr>
        <w:autoSpaceDE w:val="0"/>
        <w:autoSpaceDN w:val="0"/>
        <w:adjustRightInd w:val="0"/>
        <w:spacing w:after="0" w:line="240" w:lineRule="auto"/>
        <w:jc w:val="center"/>
        <w:rPr>
          <w:rFonts w:ascii="Times New Roman" w:hAnsi="Times New Roman" w:cs="Times New Roman"/>
          <w:b/>
          <w:bCs/>
          <w:sz w:val="24"/>
          <w:szCs w:val="24"/>
        </w:rPr>
      </w:pPr>
    </w:p>
    <w:p w:rsidR="001726E8" w:rsidRDefault="001726E8" w:rsidP="001726E8">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Résumé</w:t>
      </w:r>
    </w:p>
    <w:p w:rsidR="001726E8" w:rsidRDefault="001726E8" w:rsidP="001726E8">
      <w:pPr>
        <w:autoSpaceDE w:val="0"/>
        <w:autoSpaceDN w:val="0"/>
        <w:adjustRightInd w:val="0"/>
        <w:spacing w:after="0" w:line="240" w:lineRule="auto"/>
        <w:jc w:val="center"/>
        <w:rPr>
          <w:rFonts w:ascii="Times New Roman" w:hAnsi="Times New Roman" w:cs="Times New Roman"/>
          <w:b/>
          <w:bCs/>
          <w:sz w:val="24"/>
          <w:szCs w:val="24"/>
        </w:rPr>
      </w:pPr>
    </w:p>
    <w:p w:rsidR="001726E8" w:rsidRDefault="001726E8" w:rsidP="001726E8">
      <w:pPr>
        <w:autoSpaceDE w:val="0"/>
        <w:autoSpaceDN w:val="0"/>
        <w:adjustRightInd w:val="0"/>
        <w:spacing w:after="0" w:line="240" w:lineRule="auto"/>
        <w:jc w:val="center"/>
        <w:rPr>
          <w:rFonts w:ascii="Times New Roman" w:hAnsi="Times New Roman" w:cs="Times New Roman"/>
          <w:b/>
          <w:bCs/>
          <w:sz w:val="24"/>
          <w:szCs w:val="24"/>
        </w:rPr>
      </w:pPr>
    </w:p>
    <w:p w:rsidR="001726E8" w:rsidRDefault="001726E8" w:rsidP="001726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Des poudres d’alliage Fe</w:t>
      </w:r>
      <w:r>
        <w:rPr>
          <w:rFonts w:ascii="Times New Roman" w:hAnsi="Times New Roman" w:cs="Times New Roman"/>
          <w:sz w:val="18"/>
          <w:szCs w:val="18"/>
        </w:rPr>
        <w:t>90</w:t>
      </w:r>
      <w:r>
        <w:rPr>
          <w:rFonts w:ascii="Times New Roman" w:hAnsi="Times New Roman" w:cs="Times New Roman"/>
          <w:sz w:val="24"/>
          <w:szCs w:val="24"/>
        </w:rPr>
        <w:t>Mg</w:t>
      </w:r>
      <w:r>
        <w:rPr>
          <w:rFonts w:ascii="Times New Roman" w:hAnsi="Times New Roman" w:cs="Times New Roman"/>
          <w:sz w:val="16"/>
          <w:szCs w:val="16"/>
        </w:rPr>
        <w:t xml:space="preserve">10 </w:t>
      </w:r>
      <w:proofErr w:type="spellStart"/>
      <w:r>
        <w:rPr>
          <w:rFonts w:ascii="Times New Roman" w:hAnsi="Times New Roman" w:cs="Times New Roman"/>
          <w:sz w:val="24"/>
          <w:szCs w:val="24"/>
        </w:rPr>
        <w:t>nanostructurées</w:t>
      </w:r>
      <w:proofErr w:type="spellEnd"/>
      <w:r>
        <w:rPr>
          <w:rFonts w:ascii="Times New Roman" w:hAnsi="Times New Roman" w:cs="Times New Roman"/>
          <w:sz w:val="24"/>
          <w:szCs w:val="24"/>
        </w:rPr>
        <w:t xml:space="preserve"> ont été élaborées par </w:t>
      </w:r>
      <w:proofErr w:type="spellStart"/>
      <w:r>
        <w:rPr>
          <w:rFonts w:ascii="Times New Roman" w:hAnsi="Times New Roman" w:cs="Times New Roman"/>
          <w:sz w:val="24"/>
          <w:szCs w:val="24"/>
        </w:rPr>
        <w:t>mécanosynthèse</w:t>
      </w:r>
      <w:proofErr w:type="spellEnd"/>
      <w:r>
        <w:rPr>
          <w:rFonts w:ascii="Times New Roman" w:hAnsi="Times New Roman" w:cs="Times New Roman"/>
          <w:sz w:val="24"/>
          <w:szCs w:val="24"/>
        </w:rPr>
        <w:t xml:space="preserve"> à l’aide</w:t>
      </w:r>
    </w:p>
    <w:p w:rsidR="001726E8" w:rsidRDefault="001726E8" w:rsidP="001726E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d’un</w:t>
      </w:r>
      <w:proofErr w:type="gramEnd"/>
      <w:r>
        <w:rPr>
          <w:rFonts w:ascii="Times New Roman" w:hAnsi="Times New Roman" w:cs="Times New Roman"/>
          <w:sz w:val="24"/>
          <w:szCs w:val="24"/>
        </w:rPr>
        <w:t xml:space="preserve"> broyeur planétaire à haute énergie. La formation de la solution solide ainsi que l’évolutiondes propriétés structurales, microstructurales, granulométrie laser, hyperfines et magnétiques enfonction du temps de broyage allant jusqu’à 5 4 h a été suivie aux moyen des techniques decaractérisation : Diffraction des rayons X (DRX), Dispersion d’énergie (EDX), Microscopieélectronique à balayage (MEB), Spectroscopie Mössbauer (SM) et Mesures magnétiques </w:t>
      </w:r>
      <w:proofErr w:type="spellStart"/>
      <w:r>
        <w:rPr>
          <w:rFonts w:ascii="Times New Roman" w:hAnsi="Times New Roman" w:cs="Times New Roman"/>
          <w:sz w:val="24"/>
          <w:szCs w:val="24"/>
        </w:rPr>
        <w:t>parhystérésismètre</w:t>
      </w:r>
      <w:proofErr w:type="spellEnd"/>
      <w:r>
        <w:rPr>
          <w:rFonts w:ascii="Times New Roman" w:hAnsi="Times New Roman" w:cs="Times New Roman"/>
          <w:sz w:val="24"/>
          <w:szCs w:val="24"/>
        </w:rPr>
        <w:t>. La formation de la solution solide α-Fe(Mg) a commencé après 4 h de broyage.</w:t>
      </w:r>
    </w:p>
    <w:p w:rsidR="001726E8" w:rsidRDefault="001726E8" w:rsidP="001726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Les résultats de la DRX ont aussi indiqué que lorsque le temps de broyage augmente, leparamètre de maille augmente et aussi le taux de microdéformations alors que la taille moyennedes grains diminue. Les examens de micrographes MEB e t a n a l </w:t>
      </w:r>
      <w:proofErr w:type="spellStart"/>
      <w:r>
        <w:rPr>
          <w:rFonts w:ascii="Times New Roman" w:hAnsi="Times New Roman" w:cs="Times New Roman"/>
          <w:sz w:val="24"/>
          <w:szCs w:val="24"/>
        </w:rPr>
        <w:t>ys</w:t>
      </w:r>
      <w:proofErr w:type="spellEnd"/>
      <w:r>
        <w:rPr>
          <w:rFonts w:ascii="Times New Roman" w:hAnsi="Times New Roman" w:cs="Times New Roman"/>
          <w:sz w:val="24"/>
          <w:szCs w:val="24"/>
        </w:rPr>
        <w:t xml:space="preserve"> e g r an u </w:t>
      </w:r>
      <w:proofErr w:type="spellStart"/>
      <w:r>
        <w:rPr>
          <w:rFonts w:ascii="Times New Roman" w:hAnsi="Times New Roman" w:cs="Times New Roman"/>
          <w:sz w:val="24"/>
          <w:szCs w:val="24"/>
        </w:rPr>
        <w:t>lomé</w:t>
      </w:r>
      <w:proofErr w:type="spellEnd"/>
      <w:r>
        <w:rPr>
          <w:rFonts w:ascii="Times New Roman" w:hAnsi="Times New Roman" w:cs="Times New Roman"/>
          <w:sz w:val="24"/>
          <w:szCs w:val="24"/>
        </w:rPr>
        <w:t xml:space="preserve"> t r i </w:t>
      </w:r>
      <w:proofErr w:type="spellStart"/>
      <w:r>
        <w:rPr>
          <w:rFonts w:ascii="Times New Roman" w:hAnsi="Times New Roman" w:cs="Times New Roman"/>
          <w:sz w:val="24"/>
          <w:szCs w:val="24"/>
        </w:rPr>
        <w:t>qu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eont</w:t>
      </w:r>
      <w:proofErr w:type="spellEnd"/>
      <w:r>
        <w:rPr>
          <w:rFonts w:ascii="Times New Roman" w:hAnsi="Times New Roman" w:cs="Times New Roman"/>
          <w:sz w:val="24"/>
          <w:szCs w:val="24"/>
        </w:rPr>
        <w:t xml:space="preserve"> montré que durant les premiers stades de broyage la taille moyenne des particules</w:t>
      </w:r>
    </w:p>
    <w:p w:rsidR="001726E8" w:rsidRDefault="001726E8" w:rsidP="001726E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augmente</w:t>
      </w:r>
      <w:proofErr w:type="gramEnd"/>
      <w:r>
        <w:rPr>
          <w:rFonts w:ascii="Times New Roman" w:hAnsi="Times New Roman" w:cs="Times New Roman"/>
          <w:sz w:val="24"/>
          <w:szCs w:val="24"/>
        </w:rPr>
        <w:t xml:space="preserve"> ensuite elle diminue jusqu’à équilibre entre les deux phénomènes de soudage et</w:t>
      </w:r>
    </w:p>
    <w:p w:rsidR="001726E8" w:rsidRDefault="001726E8" w:rsidP="001726E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fracture</w:t>
      </w:r>
      <w:proofErr w:type="gramEnd"/>
      <w:r>
        <w:rPr>
          <w:rFonts w:ascii="Times New Roman" w:hAnsi="Times New Roman" w:cs="Times New Roman"/>
          <w:sz w:val="24"/>
          <w:szCs w:val="24"/>
        </w:rPr>
        <w:t xml:space="preserve">. Les résultats de spectroscopie Mössbauer ont permis de mettre en évidence la formationde phase α-Fe(Mg) désordonnée ferromagnétique caractéristique de notre alliage en présenced’une phase paramagnétique riche en Mg. L’aimantation à saturation et le champ coercitif ontété déterminés à partir des cycles d’hystérésis, il a été déterminé que Ms a u </w:t>
      </w:r>
      <w:proofErr w:type="spellStart"/>
      <w:r>
        <w:rPr>
          <w:rFonts w:ascii="Times New Roman" w:hAnsi="Times New Roman" w:cs="Times New Roman"/>
          <w:sz w:val="24"/>
          <w:szCs w:val="24"/>
        </w:rPr>
        <w:t>gme</w:t>
      </w:r>
      <w:proofErr w:type="spellEnd"/>
      <w:r>
        <w:rPr>
          <w:rFonts w:ascii="Times New Roman" w:hAnsi="Times New Roman" w:cs="Times New Roman"/>
          <w:sz w:val="24"/>
          <w:szCs w:val="24"/>
        </w:rPr>
        <w:t xml:space="preserve"> n t </w:t>
      </w:r>
      <w:proofErr w:type="spellStart"/>
      <w:r>
        <w:rPr>
          <w:rFonts w:ascii="Times New Roman" w:hAnsi="Times New Roman" w:cs="Times New Roman"/>
          <w:sz w:val="24"/>
          <w:szCs w:val="24"/>
        </w:rPr>
        <w:t>e</w:t>
      </w:r>
      <w:bookmarkStart w:id="0" w:name="_GoBack"/>
      <w:bookmarkEnd w:id="0"/>
      <w:r>
        <w:rPr>
          <w:rFonts w:ascii="Times New Roman" w:hAnsi="Times New Roman" w:cs="Times New Roman"/>
          <w:sz w:val="24"/>
          <w:szCs w:val="24"/>
        </w:rPr>
        <w:t>j</w:t>
      </w:r>
      <w:proofErr w:type="spellEnd"/>
      <w:r>
        <w:rPr>
          <w:rFonts w:ascii="Times New Roman" w:hAnsi="Times New Roman" w:cs="Times New Roman"/>
          <w:sz w:val="24"/>
          <w:szCs w:val="24"/>
        </w:rPr>
        <w:t xml:space="preserve"> u s q u ’ à u n e v a l e u r m a x i m u m p o u r 2 4 h d e b r o y a g e ensuite augmente</w:t>
      </w:r>
    </w:p>
    <w:p w:rsidR="001726E8" w:rsidRDefault="001726E8" w:rsidP="001726E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alors</w:t>
      </w:r>
      <w:proofErr w:type="gramEnd"/>
      <w:r>
        <w:rPr>
          <w:rFonts w:ascii="Times New Roman" w:hAnsi="Times New Roman" w:cs="Times New Roman"/>
          <w:sz w:val="24"/>
          <w:szCs w:val="24"/>
        </w:rPr>
        <w:t xml:space="preserve"> que </w:t>
      </w:r>
      <w:proofErr w:type="spellStart"/>
      <w:r>
        <w:rPr>
          <w:rFonts w:ascii="Times New Roman" w:hAnsi="Times New Roman" w:cs="Times New Roman"/>
          <w:sz w:val="24"/>
          <w:szCs w:val="24"/>
        </w:rPr>
        <w:t>Hc</w:t>
      </w:r>
      <w:proofErr w:type="spellEnd"/>
      <w:r>
        <w:rPr>
          <w:rFonts w:ascii="Times New Roman" w:hAnsi="Times New Roman" w:cs="Times New Roman"/>
          <w:sz w:val="24"/>
          <w:szCs w:val="24"/>
        </w:rPr>
        <w:t xml:space="preserve"> augmente jusqu’à une valeur maximum pour 16 h de broyage, ensuite diminue</w:t>
      </w:r>
    </w:p>
    <w:p w:rsidR="001726E8" w:rsidRDefault="001726E8" w:rsidP="001726E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avec</w:t>
      </w:r>
      <w:proofErr w:type="gramEnd"/>
      <w:r>
        <w:rPr>
          <w:rFonts w:ascii="Times New Roman" w:hAnsi="Times New Roman" w:cs="Times New Roman"/>
          <w:sz w:val="24"/>
          <w:szCs w:val="24"/>
        </w:rPr>
        <w:t xml:space="preserve"> le temps de broyage.</w:t>
      </w:r>
    </w:p>
    <w:p w:rsidR="001726E8" w:rsidRDefault="001726E8" w:rsidP="001726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L’étude de la substitution du composé (Fe</w:t>
      </w:r>
      <w:r>
        <w:rPr>
          <w:rFonts w:ascii="Times New Roman" w:hAnsi="Times New Roman" w:cs="Times New Roman"/>
          <w:sz w:val="16"/>
          <w:szCs w:val="16"/>
        </w:rPr>
        <w:t>100-x</w:t>
      </w:r>
      <w:r>
        <w:rPr>
          <w:rFonts w:ascii="Times New Roman" w:hAnsi="Times New Roman" w:cs="Times New Roman"/>
          <w:sz w:val="24"/>
          <w:szCs w:val="24"/>
        </w:rPr>
        <w:t>Mg</w:t>
      </w:r>
      <w:r>
        <w:rPr>
          <w:rFonts w:ascii="Times New Roman" w:hAnsi="Times New Roman" w:cs="Times New Roman"/>
          <w:sz w:val="16"/>
          <w:szCs w:val="16"/>
        </w:rPr>
        <w:t>x</w:t>
      </w:r>
      <w:r>
        <w:rPr>
          <w:rFonts w:ascii="Times New Roman" w:hAnsi="Times New Roman" w:cs="Times New Roman"/>
          <w:sz w:val="24"/>
          <w:szCs w:val="24"/>
        </w:rPr>
        <w:t>) par le Mg pour les concentrations (5, 7.5,</w:t>
      </w:r>
    </w:p>
    <w:p w:rsidR="001726E8" w:rsidRDefault="001726E8" w:rsidP="001726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15, 20, 33 et 45) a révélé la formation de la solution solide pour l’ensemble des concentrations</w:t>
      </w:r>
    </w:p>
    <w:p w:rsidR="001726E8" w:rsidRDefault="001726E8" w:rsidP="001726E8">
      <w:pPr>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en</w:t>
      </w:r>
      <w:proofErr w:type="gramEnd"/>
      <w:r>
        <w:rPr>
          <w:rFonts w:ascii="Times New Roman" w:hAnsi="Times New Roman" w:cs="Times New Roman"/>
          <w:sz w:val="24"/>
          <w:szCs w:val="24"/>
        </w:rPr>
        <w:t xml:space="preserve"> Mg. Il a été observé que l’ajout du Mg fait d’avantage l’alliage qui devient plus ductile.</w:t>
      </w:r>
    </w:p>
    <w:p w:rsidR="001726E8" w:rsidRDefault="001726E8" w:rsidP="001726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Les expériences des mesures magnétiques ont affirmé que le comportement ferromagnétique</w:t>
      </w:r>
    </w:p>
    <w:p w:rsidR="00796EFF" w:rsidRPr="001726E8" w:rsidRDefault="001726E8" w:rsidP="001726E8">
      <w:pPr>
        <w:spacing w:line="360" w:lineRule="auto"/>
        <w:jc w:val="both"/>
      </w:pPr>
      <w:proofErr w:type="gramStart"/>
      <w:r>
        <w:rPr>
          <w:rFonts w:ascii="Times New Roman" w:hAnsi="Times New Roman" w:cs="Times New Roman"/>
          <w:sz w:val="24"/>
          <w:szCs w:val="24"/>
        </w:rPr>
        <w:t>diminue</w:t>
      </w:r>
      <w:proofErr w:type="gramEnd"/>
      <w:r>
        <w:rPr>
          <w:rFonts w:ascii="Times New Roman" w:hAnsi="Times New Roman" w:cs="Times New Roman"/>
          <w:sz w:val="24"/>
          <w:szCs w:val="24"/>
        </w:rPr>
        <w:t xml:space="preserve"> avec l’augmentation de la proportion de Mg dans l’alliage.</w:t>
      </w:r>
    </w:p>
    <w:sectPr w:rsidR="00796EFF" w:rsidRPr="001726E8" w:rsidSect="008431D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1726E8"/>
    <w:rsid w:val="001726E8"/>
    <w:rsid w:val="00176F29"/>
    <w:rsid w:val="008431DF"/>
    <w:rsid w:val="009C20C2"/>
    <w:rsid w:val="00A81B4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31D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316</Words>
  <Characters>1807</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traitement</cp:lastModifiedBy>
  <cp:revision>2</cp:revision>
  <dcterms:created xsi:type="dcterms:W3CDTF">2016-10-05T13:12:00Z</dcterms:created>
  <dcterms:modified xsi:type="dcterms:W3CDTF">2017-01-30T09:47:00Z</dcterms:modified>
</cp:coreProperties>
</file>