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D98" w:rsidRPr="00281102" w:rsidRDefault="003F7D98" w:rsidP="003F7D98">
      <w:pPr>
        <w:pStyle w:val="Titre1"/>
        <w:spacing w:before="0" w:line="240" w:lineRule="auto"/>
        <w:jc w:val="center"/>
        <w:rPr>
          <w:color w:val="auto"/>
          <w:u w:val="single"/>
        </w:rPr>
      </w:pPr>
      <w:r w:rsidRPr="00281102">
        <w:rPr>
          <w:color w:val="auto"/>
          <w:u w:val="single"/>
        </w:rPr>
        <w:t>RESUME</w:t>
      </w:r>
    </w:p>
    <w:p w:rsidR="003F7D98" w:rsidRPr="00281102" w:rsidRDefault="003F7D98" w:rsidP="003F7D98">
      <w:pPr>
        <w:spacing w:after="0" w:line="320" w:lineRule="exact"/>
        <w:jc w:val="both"/>
        <w:rPr>
          <w:rFonts w:asciiTheme="majorHAnsi" w:hAnsiTheme="majorHAnsi" w:cstheme="majorBidi"/>
        </w:rPr>
      </w:pPr>
      <w:r w:rsidRPr="00281102">
        <w:rPr>
          <w:rFonts w:asciiTheme="majorHAnsi" w:hAnsiTheme="majorHAnsi" w:cstheme="majorBidi"/>
          <w:color w:val="000000"/>
          <w:spacing w:val="4"/>
        </w:rPr>
        <w:t xml:space="preserve">Dans la présente </w:t>
      </w:r>
      <w:r w:rsidRPr="00281102">
        <w:rPr>
          <w:rFonts w:asciiTheme="majorHAnsi" w:eastAsia="Times New Roman" w:hAnsiTheme="majorHAnsi" w:cstheme="majorBidi"/>
          <w:color w:val="000000"/>
          <w:spacing w:val="4"/>
        </w:rPr>
        <w:t xml:space="preserve">étude, on examine </w:t>
      </w:r>
      <w:r w:rsidRPr="00281102">
        <w:rPr>
          <w:rFonts w:asciiTheme="majorHAnsi" w:hAnsiTheme="majorHAnsi" w:cstheme="majorBidi"/>
        </w:rPr>
        <w:t>le contrôle par injection</w:t>
      </w:r>
      <w:r>
        <w:rPr>
          <w:rFonts w:asciiTheme="majorHAnsi" w:hAnsiTheme="majorHAnsi" w:cstheme="majorBidi"/>
        </w:rPr>
        <w:t xml:space="preserve"> longitudinale</w:t>
      </w:r>
      <w:r w:rsidRPr="00281102">
        <w:rPr>
          <w:rFonts w:asciiTheme="majorHAnsi" w:hAnsiTheme="majorHAnsi" w:cstheme="majorBidi"/>
        </w:rPr>
        <w:t xml:space="preserve"> localisée  (soufflage ou aspiration) des structures tourbillonnaires générées par l’écoulement en aval d’une marche descendante. </w:t>
      </w:r>
      <w:r w:rsidRPr="00281102">
        <w:rPr>
          <w:rFonts w:asciiTheme="majorHAnsi" w:eastAsia="Times New Roman" w:hAnsiTheme="majorHAnsi" w:cstheme="majorBidi"/>
          <w:color w:val="000000"/>
          <w:spacing w:val="4"/>
        </w:rPr>
        <w:t>Le soufflage ou l’aspiration sont produits à travers une petite fente aménagée au coin d</w:t>
      </w:r>
      <w:r>
        <w:rPr>
          <w:rFonts w:asciiTheme="majorHAnsi" w:eastAsia="Times New Roman" w:hAnsiTheme="majorHAnsi" w:cstheme="majorBidi"/>
          <w:color w:val="000000"/>
          <w:spacing w:val="4"/>
        </w:rPr>
        <w:t xml:space="preserve">e la marche où l’écoulement est </w:t>
      </w:r>
      <w:r w:rsidRPr="00281102">
        <w:rPr>
          <w:rFonts w:asciiTheme="majorHAnsi" w:eastAsia="Times New Roman" w:hAnsiTheme="majorHAnsi" w:cstheme="majorBidi"/>
          <w:color w:val="000000"/>
          <w:spacing w:val="4"/>
        </w:rPr>
        <w:t>fortement perturbé.</w:t>
      </w:r>
      <w:r w:rsidRPr="00281102">
        <w:rPr>
          <w:rFonts w:asciiTheme="majorHAnsi" w:hAnsiTheme="majorHAnsi" w:cstheme="majorBidi"/>
        </w:rPr>
        <w:t xml:space="preserve"> La fermeture d</w:t>
      </w:r>
      <w:r>
        <w:rPr>
          <w:rFonts w:asciiTheme="majorHAnsi" w:hAnsiTheme="majorHAnsi" w:cstheme="majorBidi"/>
        </w:rPr>
        <w:t xml:space="preserve">es équations du mouvement a été </w:t>
      </w:r>
      <w:r w:rsidRPr="00281102">
        <w:rPr>
          <w:rFonts w:asciiTheme="majorHAnsi" w:hAnsiTheme="majorHAnsi" w:cstheme="majorBidi"/>
        </w:rPr>
        <w:t>réalisée par un modèle de turbulence de fermeture en un point (RANS) à deux équations : le modèle énergie-dissipation k</w:t>
      </w:r>
      <w:r>
        <w:rPr>
          <w:rFonts w:asciiTheme="majorHAnsi" w:hAnsiTheme="majorHAnsi" w:cstheme="majorBidi"/>
        </w:rPr>
        <w:t>-</w:t>
      </w:r>
      <m:oMath>
        <m:r>
          <w:rPr>
            <w:rFonts w:ascii="Cambria Math" w:hAnsiTheme="majorHAnsi" w:cstheme="majorBidi"/>
          </w:rPr>
          <m:t xml:space="preserve"> </m:t>
        </m:r>
        <m:r>
          <w:rPr>
            <w:rFonts w:ascii="Cambria Math" w:hAnsi="Cambria Math" w:cstheme="majorBidi"/>
          </w:rPr>
          <m:t>ε</m:t>
        </m:r>
      </m:oMath>
      <w:r w:rsidRPr="00281102">
        <w:rPr>
          <w:rFonts w:asciiTheme="majorHAnsi" w:hAnsiTheme="majorHAnsi" w:cstheme="majorBidi"/>
        </w:rPr>
        <w:t xml:space="preserve">. La résolution numérique a été menée par </w:t>
      </w:r>
      <w:r>
        <w:rPr>
          <w:rFonts w:asciiTheme="majorHAnsi" w:hAnsiTheme="majorHAnsi" w:cstheme="majorBidi"/>
        </w:rPr>
        <w:t xml:space="preserve">le </w:t>
      </w:r>
      <w:r w:rsidRPr="00281102">
        <w:rPr>
          <w:rFonts w:asciiTheme="majorHAnsi" w:hAnsiTheme="majorHAnsi" w:cstheme="majorBidi"/>
        </w:rPr>
        <w:t>code CFD FLUENT 6.3 qui nécessite l’usage d’un autre logiciel GAMBIT pour concevoir le maillage de la configuration. Le couplage vitesse-pression est résolu par l’algorithme SIMPLE. Les termes de convection-diffusion sont approchés par le schéma d’interpolation en loi de puissance. Les résultats obtenus sont comparés et validés par l’expérience.   La simulation numériqu</w:t>
      </w:r>
      <w:r>
        <w:rPr>
          <w:rFonts w:asciiTheme="majorHAnsi" w:hAnsiTheme="majorHAnsi" w:cstheme="majorBidi"/>
        </w:rPr>
        <w:t>e a mis en évidence d</w:t>
      </w:r>
      <w:r w:rsidRPr="00281102">
        <w:rPr>
          <w:rFonts w:asciiTheme="majorHAnsi" w:hAnsiTheme="majorHAnsi" w:cstheme="majorBidi"/>
        </w:rPr>
        <w:t>es structures tourbillonnaires don</w:t>
      </w:r>
      <w:r>
        <w:rPr>
          <w:rFonts w:asciiTheme="majorHAnsi" w:hAnsiTheme="majorHAnsi" w:cstheme="majorBidi"/>
        </w:rPr>
        <w:t xml:space="preserve">t la taille et la forme dépend </w:t>
      </w:r>
      <w:r w:rsidRPr="00281102">
        <w:rPr>
          <w:rFonts w:asciiTheme="majorHAnsi" w:hAnsiTheme="majorHAnsi" w:cstheme="majorBidi"/>
        </w:rPr>
        <w:t xml:space="preserve">du taux d’injection. L’étude sera menée pour un écoulement à fort nombre de Reynolds  </w:t>
      </w:r>
      <w:r>
        <w:rPr>
          <w:rFonts w:asciiTheme="majorHAnsi" w:hAnsiTheme="majorHAnsi" w:cstheme="majorBidi"/>
        </w:rPr>
        <w:t>(</w:t>
      </w:r>
      <w:proofErr w:type="spellStart"/>
      <w:r w:rsidRPr="00281102">
        <w:rPr>
          <w:rFonts w:asciiTheme="majorHAnsi" w:hAnsiTheme="majorHAnsi" w:cstheme="majorBidi"/>
        </w:rPr>
        <w:t>R</w:t>
      </w:r>
      <w:r w:rsidRPr="00281102">
        <w:rPr>
          <w:rFonts w:asciiTheme="majorHAnsi" w:hAnsiTheme="majorHAnsi" w:cstheme="majorBidi"/>
          <w:vertAlign w:val="subscript"/>
        </w:rPr>
        <w:t>e</w:t>
      </w:r>
      <w:proofErr w:type="spellEnd"/>
      <w:r w:rsidRPr="00281102">
        <w:rPr>
          <w:rFonts w:asciiTheme="majorHAnsi" w:hAnsiTheme="majorHAnsi" w:cstheme="majorBidi"/>
        </w:rPr>
        <w:t>=35000</w:t>
      </w:r>
      <w:r>
        <w:rPr>
          <w:rFonts w:asciiTheme="majorHAnsi" w:hAnsiTheme="majorHAnsi" w:cstheme="majorBidi"/>
        </w:rPr>
        <w:t>)</w:t>
      </w:r>
      <w:r w:rsidRPr="00281102">
        <w:rPr>
          <w:rFonts w:asciiTheme="majorHAnsi" w:hAnsiTheme="majorHAnsi" w:cstheme="majorBidi"/>
        </w:rPr>
        <w:t xml:space="preserve">, avec un </w:t>
      </w:r>
      <w:r>
        <w:rPr>
          <w:rFonts w:asciiTheme="majorHAnsi" w:hAnsiTheme="majorHAnsi" w:cstheme="majorBidi"/>
        </w:rPr>
        <w:t xml:space="preserve">faible </w:t>
      </w:r>
      <w:r w:rsidRPr="00281102">
        <w:rPr>
          <w:rFonts w:asciiTheme="majorHAnsi" w:hAnsiTheme="majorHAnsi" w:cstheme="majorBidi"/>
        </w:rPr>
        <w:t xml:space="preserve">taux de turbulence  de </w:t>
      </w:r>
      <w:r>
        <w:rPr>
          <w:rFonts w:asciiTheme="majorHAnsi" w:hAnsiTheme="majorHAnsi" w:cstheme="majorBidi"/>
        </w:rPr>
        <w:t>0.1</w:t>
      </w:r>
      <w:r w:rsidRPr="00281102">
        <w:rPr>
          <w:rFonts w:asciiTheme="majorHAnsi" w:hAnsiTheme="majorHAnsi" w:cstheme="majorBidi"/>
        </w:rPr>
        <w:t xml:space="preserve">% et une vitesse moyenne d’entrée </w:t>
      </w:r>
      <w:r>
        <w:rPr>
          <w:rFonts w:asciiTheme="majorHAnsi" w:hAnsiTheme="majorHAnsi" w:cstheme="majorBidi"/>
        </w:rPr>
        <w:t xml:space="preserve">de </w:t>
      </w:r>
      <w:r w:rsidRPr="00281102">
        <w:rPr>
          <w:rFonts w:asciiTheme="majorHAnsi" w:hAnsiTheme="majorHAnsi" w:cstheme="majorBidi"/>
        </w:rPr>
        <w:t>20 m/s affleurant une marche de hauteur h=0.025 m. Le taux de soufflage ou d’aspiration à travers une fente donnée est caractérisé par le coefficient adimensionnel  C</w:t>
      </w:r>
      <w:r w:rsidRPr="00281102">
        <w:rPr>
          <w:rFonts w:asciiTheme="majorHAnsi" w:hAnsiTheme="majorHAnsi" w:cstheme="majorBidi"/>
          <w:b/>
          <w:vertAlign w:val="subscript"/>
        </w:rPr>
        <w:t>Q</w:t>
      </w:r>
      <w:r w:rsidRPr="00281102">
        <w:rPr>
          <w:rFonts w:asciiTheme="majorHAnsi" w:hAnsiTheme="majorHAnsi" w:cstheme="majorBidi"/>
        </w:rPr>
        <w:t>. Lorsque C</w:t>
      </w:r>
      <w:r w:rsidRPr="00281102">
        <w:rPr>
          <w:rFonts w:asciiTheme="majorHAnsi" w:hAnsiTheme="majorHAnsi" w:cstheme="majorBidi"/>
          <w:vertAlign w:val="subscript"/>
        </w:rPr>
        <w:t>Q</w:t>
      </w:r>
      <w:r w:rsidRPr="00281102">
        <w:rPr>
          <w:rFonts w:asciiTheme="majorHAnsi" w:hAnsiTheme="majorHAnsi" w:cstheme="majorBidi"/>
        </w:rPr>
        <w:t>&gt;0, il s’agit d’un soufflage  par contre lorsque C</w:t>
      </w:r>
      <w:r w:rsidRPr="00281102">
        <w:rPr>
          <w:rFonts w:asciiTheme="majorHAnsi" w:hAnsiTheme="majorHAnsi" w:cstheme="majorBidi"/>
          <w:vertAlign w:val="subscript"/>
        </w:rPr>
        <w:t>Q</w:t>
      </w:r>
      <w:r w:rsidRPr="00281102">
        <w:rPr>
          <w:rFonts w:asciiTheme="majorHAnsi" w:hAnsiTheme="majorHAnsi" w:cstheme="majorBidi"/>
        </w:rPr>
        <w:t>&lt;0 c’est une aspiration. Dans ce travail, plusieurs taux d’injection C</w:t>
      </w:r>
      <w:r w:rsidRPr="00281102">
        <w:rPr>
          <w:rFonts w:asciiTheme="majorHAnsi" w:hAnsiTheme="majorHAnsi" w:cstheme="majorBidi"/>
          <w:b/>
          <w:vertAlign w:val="subscript"/>
        </w:rPr>
        <w:t>Q</w:t>
      </w:r>
      <w:r w:rsidRPr="00281102">
        <w:rPr>
          <w:rFonts w:asciiTheme="majorHAnsi" w:hAnsiTheme="majorHAnsi" w:cstheme="majorBidi"/>
        </w:rPr>
        <w:t xml:space="preserve"> ont été considérés dans la gamme 0.035&lt;C</w:t>
      </w:r>
      <w:r w:rsidRPr="00281102">
        <w:rPr>
          <w:rFonts w:asciiTheme="majorHAnsi" w:hAnsiTheme="majorHAnsi" w:cstheme="majorBidi"/>
          <w:b/>
          <w:vertAlign w:val="subscript"/>
        </w:rPr>
        <w:t>Q</w:t>
      </w:r>
      <w:r w:rsidRPr="00281102">
        <w:rPr>
          <w:rFonts w:asciiTheme="majorHAnsi" w:hAnsiTheme="majorHAnsi" w:cstheme="majorBidi"/>
        </w:rPr>
        <w:t>&lt;+0.035 pour deux fentes  de  largeur a=0. 95 m</w:t>
      </w:r>
      <w:r>
        <w:rPr>
          <w:rFonts w:asciiTheme="majorHAnsi" w:hAnsiTheme="majorHAnsi" w:cstheme="majorBidi"/>
        </w:rPr>
        <w:t>m et a=</w:t>
      </w:r>
      <w:r w:rsidRPr="00281102">
        <w:rPr>
          <w:rFonts w:asciiTheme="majorHAnsi" w:hAnsiTheme="majorHAnsi" w:cstheme="majorBidi"/>
        </w:rPr>
        <w:t>2</w:t>
      </w:r>
      <w:r>
        <w:rPr>
          <w:rFonts w:asciiTheme="majorHAnsi" w:hAnsiTheme="majorHAnsi" w:cstheme="majorBidi"/>
        </w:rPr>
        <w:t>.</w:t>
      </w:r>
      <w:r w:rsidRPr="00281102">
        <w:rPr>
          <w:rFonts w:asciiTheme="majorHAnsi" w:hAnsiTheme="majorHAnsi" w:cstheme="majorBidi"/>
        </w:rPr>
        <w:t>25 m</w:t>
      </w:r>
      <w:r>
        <w:rPr>
          <w:rFonts w:asciiTheme="majorHAnsi" w:hAnsiTheme="majorHAnsi" w:cstheme="majorBidi"/>
        </w:rPr>
        <w:t>m</w:t>
      </w:r>
      <w:r w:rsidRPr="00281102">
        <w:rPr>
          <w:rFonts w:asciiTheme="majorHAnsi" w:hAnsiTheme="majorHAnsi" w:cstheme="majorBidi"/>
        </w:rPr>
        <w:t>.</w:t>
      </w:r>
    </w:p>
    <w:p w:rsidR="003F7D98" w:rsidRPr="00281102" w:rsidRDefault="003F7D98" w:rsidP="003F7D98">
      <w:pPr>
        <w:pStyle w:val="Corpsdetexte"/>
        <w:spacing w:line="320" w:lineRule="exact"/>
        <w:rPr>
          <w:rFonts w:asciiTheme="majorHAnsi" w:hAnsiTheme="majorHAnsi" w:cstheme="majorBidi"/>
          <w:sz w:val="22"/>
          <w:szCs w:val="22"/>
          <w:lang w:val="fr-CA"/>
        </w:rPr>
      </w:pPr>
      <w:r w:rsidRPr="00281102">
        <w:rPr>
          <w:rFonts w:asciiTheme="majorHAnsi" w:hAnsiTheme="majorHAnsi" w:cstheme="majorBidi"/>
          <w:bCs/>
          <w:sz w:val="22"/>
          <w:szCs w:val="22"/>
          <w:lang w:val="fr-CA"/>
        </w:rPr>
        <w:t>L’ensemble des résultats obtenus</w:t>
      </w:r>
      <w:r w:rsidRPr="00281102">
        <w:rPr>
          <w:rFonts w:asciiTheme="majorHAnsi" w:hAnsiTheme="majorHAnsi" w:cstheme="majorBidi"/>
          <w:b/>
          <w:sz w:val="22"/>
          <w:szCs w:val="22"/>
          <w:lang w:val="fr-CA"/>
        </w:rPr>
        <w:t xml:space="preserve"> </w:t>
      </w:r>
      <w:r w:rsidRPr="00281102">
        <w:rPr>
          <w:rFonts w:asciiTheme="majorHAnsi" w:hAnsiTheme="majorHAnsi" w:cstheme="majorBidi"/>
          <w:sz w:val="22"/>
          <w:szCs w:val="22"/>
          <w:lang w:val="fr-CA"/>
        </w:rPr>
        <w:t>ont mis en évidence :</w:t>
      </w:r>
    </w:p>
    <w:p w:rsidR="003F7D98" w:rsidRPr="00281102" w:rsidRDefault="003F7D98" w:rsidP="003F7D98">
      <w:pPr>
        <w:pStyle w:val="Corpsdetexte"/>
        <w:numPr>
          <w:ilvl w:val="0"/>
          <w:numId w:val="1"/>
        </w:numPr>
        <w:spacing w:line="320" w:lineRule="exact"/>
        <w:ind w:left="284" w:hanging="284"/>
        <w:rPr>
          <w:rFonts w:asciiTheme="majorHAnsi" w:hAnsiTheme="majorHAnsi" w:cstheme="majorBidi"/>
          <w:sz w:val="22"/>
          <w:szCs w:val="22"/>
          <w:lang w:val="fr-CA"/>
        </w:rPr>
      </w:pPr>
      <w:r w:rsidRPr="00281102">
        <w:rPr>
          <w:rFonts w:asciiTheme="majorHAnsi" w:hAnsiTheme="majorHAnsi" w:cstheme="majorBidi"/>
          <w:sz w:val="22"/>
          <w:szCs w:val="22"/>
          <w:lang w:val="fr-CA"/>
        </w:rPr>
        <w:t>La présence de deux tourbillons contrarotatifs en absence de soufflage ou d’aspiration</w:t>
      </w:r>
    </w:p>
    <w:p w:rsidR="003F7D98" w:rsidRPr="00281102" w:rsidRDefault="003F7D98" w:rsidP="003F7D98">
      <w:pPr>
        <w:pStyle w:val="Corpsdetexte"/>
        <w:numPr>
          <w:ilvl w:val="0"/>
          <w:numId w:val="1"/>
        </w:numPr>
        <w:spacing w:line="320" w:lineRule="exact"/>
        <w:ind w:left="284" w:hanging="284"/>
        <w:rPr>
          <w:rFonts w:asciiTheme="majorHAnsi" w:hAnsiTheme="majorHAnsi" w:cstheme="majorBidi"/>
          <w:sz w:val="22"/>
          <w:szCs w:val="22"/>
          <w:lang w:val="fr-CA"/>
        </w:rPr>
      </w:pPr>
      <w:r w:rsidRPr="00281102">
        <w:rPr>
          <w:rFonts w:asciiTheme="majorHAnsi" w:hAnsiTheme="majorHAnsi" w:cstheme="majorBidi"/>
          <w:sz w:val="22"/>
          <w:szCs w:val="22"/>
          <w:lang w:val="fr-CA"/>
        </w:rPr>
        <w:t xml:space="preserve">Le soufflage augmente la taille </w:t>
      </w:r>
      <w:r>
        <w:rPr>
          <w:rFonts w:asciiTheme="majorHAnsi" w:hAnsiTheme="majorHAnsi" w:cstheme="majorBidi"/>
          <w:sz w:val="22"/>
          <w:szCs w:val="22"/>
          <w:lang w:val="fr-CA"/>
        </w:rPr>
        <w:t xml:space="preserve">de </w:t>
      </w:r>
      <w:r w:rsidRPr="00281102">
        <w:rPr>
          <w:rFonts w:asciiTheme="majorHAnsi" w:hAnsiTheme="majorHAnsi" w:cstheme="majorBidi"/>
          <w:sz w:val="22"/>
          <w:szCs w:val="22"/>
          <w:lang w:val="fr-CA"/>
        </w:rPr>
        <w:t xml:space="preserve">la recirculation secondaire et la déplace vers le haut et réduit considérablement la taille du tourbillon principal. D’autres structures sont générées  pour les taux élevés, on est confronté </w:t>
      </w:r>
      <w:r>
        <w:rPr>
          <w:rFonts w:asciiTheme="majorHAnsi" w:hAnsiTheme="majorHAnsi" w:cstheme="majorBidi"/>
          <w:sz w:val="22"/>
          <w:szCs w:val="22"/>
          <w:lang w:val="fr-CA"/>
        </w:rPr>
        <w:t xml:space="preserve">alors </w:t>
      </w:r>
      <w:r w:rsidRPr="00281102">
        <w:rPr>
          <w:rFonts w:asciiTheme="majorHAnsi" w:hAnsiTheme="majorHAnsi" w:cstheme="majorBidi"/>
          <w:sz w:val="22"/>
          <w:szCs w:val="22"/>
          <w:lang w:val="fr-CA"/>
        </w:rPr>
        <w:t>à un  écoulement multicellulaire.</w:t>
      </w:r>
    </w:p>
    <w:p w:rsidR="003F7D98" w:rsidRPr="00281102" w:rsidRDefault="003F7D98" w:rsidP="003F7D98">
      <w:pPr>
        <w:pStyle w:val="Corpsdetexte"/>
        <w:numPr>
          <w:ilvl w:val="0"/>
          <w:numId w:val="1"/>
        </w:numPr>
        <w:spacing w:line="320" w:lineRule="exact"/>
        <w:ind w:left="284" w:hanging="284"/>
        <w:rPr>
          <w:rFonts w:asciiTheme="majorHAnsi" w:hAnsiTheme="majorHAnsi" w:cstheme="majorBidi"/>
          <w:sz w:val="22"/>
          <w:szCs w:val="22"/>
          <w:lang w:val="fr-CA"/>
        </w:rPr>
      </w:pPr>
      <w:r w:rsidRPr="00281102">
        <w:rPr>
          <w:rFonts w:asciiTheme="majorHAnsi" w:hAnsiTheme="majorHAnsi" w:cstheme="majorBidi"/>
          <w:sz w:val="22"/>
          <w:szCs w:val="22"/>
          <w:lang w:val="fr-CA"/>
        </w:rPr>
        <w:t xml:space="preserve">L’aspiration diminue considérablement la taille la recirculation secondaire et celle du tourbillon principal. Pour les taux élevés, le tourbillon secondaire </w:t>
      </w:r>
      <w:r>
        <w:rPr>
          <w:rFonts w:asciiTheme="majorHAnsi" w:hAnsiTheme="majorHAnsi" w:cstheme="majorBidi"/>
          <w:sz w:val="22"/>
          <w:szCs w:val="22"/>
          <w:lang w:val="fr-CA"/>
        </w:rPr>
        <w:t>est aspiré, disparaît progressivement. L</w:t>
      </w:r>
      <w:r w:rsidRPr="00281102">
        <w:rPr>
          <w:rFonts w:asciiTheme="majorHAnsi" w:hAnsiTheme="majorHAnsi" w:cstheme="majorBidi"/>
          <w:sz w:val="22"/>
          <w:szCs w:val="22"/>
          <w:lang w:val="fr-CA"/>
        </w:rPr>
        <w:t xml:space="preserve">a structure de l’écoulement </w:t>
      </w:r>
      <w:r>
        <w:rPr>
          <w:rFonts w:asciiTheme="majorHAnsi" w:hAnsiTheme="majorHAnsi" w:cstheme="majorBidi"/>
          <w:sz w:val="22"/>
          <w:szCs w:val="22"/>
          <w:lang w:val="fr-CA"/>
        </w:rPr>
        <w:t xml:space="preserve">demeure </w:t>
      </w:r>
      <w:r w:rsidRPr="00281102">
        <w:rPr>
          <w:rFonts w:asciiTheme="majorHAnsi" w:hAnsiTheme="majorHAnsi" w:cstheme="majorBidi"/>
          <w:sz w:val="22"/>
          <w:szCs w:val="22"/>
          <w:lang w:val="fr-CA"/>
        </w:rPr>
        <w:t>similaire avec une réduction appréciable de la z</w:t>
      </w:r>
      <w:r>
        <w:rPr>
          <w:rFonts w:asciiTheme="majorHAnsi" w:hAnsiTheme="majorHAnsi" w:cstheme="majorBidi"/>
          <w:sz w:val="22"/>
          <w:szCs w:val="22"/>
          <w:lang w:val="fr-CA"/>
        </w:rPr>
        <w:t xml:space="preserve">one de recirculation principale. </w:t>
      </w:r>
    </w:p>
    <w:p w:rsidR="003F7D98" w:rsidRPr="00281102" w:rsidRDefault="003F7D98" w:rsidP="003F7D98">
      <w:pPr>
        <w:numPr>
          <w:ilvl w:val="0"/>
          <w:numId w:val="1"/>
        </w:numPr>
        <w:tabs>
          <w:tab w:val="left" w:pos="360"/>
        </w:tabs>
        <w:spacing w:after="0" w:line="320" w:lineRule="exact"/>
        <w:ind w:left="284" w:hanging="284"/>
        <w:jc w:val="both"/>
        <w:rPr>
          <w:rFonts w:asciiTheme="majorHAnsi" w:hAnsiTheme="majorHAnsi"/>
          <w:lang w:val="fr-CA"/>
        </w:rPr>
      </w:pPr>
      <w:r w:rsidRPr="00281102">
        <w:rPr>
          <w:rFonts w:asciiTheme="majorHAnsi" w:hAnsiTheme="majorHAnsi"/>
          <w:lang w:val="fr-CA"/>
        </w:rPr>
        <w:t>Les distances de recollement calculées par le modèle k-</w:t>
      </w:r>
      <w:r w:rsidRPr="00281102">
        <w:rPr>
          <w:rFonts w:asciiTheme="majorHAnsi" w:hAnsiTheme="majorHAnsi"/>
          <w:lang w:val="fr-CA"/>
        </w:rPr>
        <w:sym w:font="Symbol" w:char="F065"/>
      </w:r>
      <w:r w:rsidRPr="00281102">
        <w:rPr>
          <w:rFonts w:asciiTheme="majorHAnsi" w:hAnsiTheme="majorHAnsi"/>
          <w:lang w:val="fr-CA"/>
        </w:rPr>
        <w:t xml:space="preserve">, sont relativement proches des valeurs expérimentales </w:t>
      </w:r>
      <w:r>
        <w:rPr>
          <w:rFonts w:asciiTheme="majorHAnsi" w:hAnsiTheme="majorHAnsi"/>
          <w:lang w:val="fr-CA"/>
        </w:rPr>
        <w:t>disponibles.</w:t>
      </w:r>
    </w:p>
    <w:p w:rsidR="003F7D98" w:rsidRPr="00281102" w:rsidRDefault="003F7D98" w:rsidP="003F7D98">
      <w:pPr>
        <w:numPr>
          <w:ilvl w:val="0"/>
          <w:numId w:val="1"/>
        </w:numPr>
        <w:tabs>
          <w:tab w:val="left" w:pos="360"/>
        </w:tabs>
        <w:spacing w:after="0" w:line="320" w:lineRule="exact"/>
        <w:ind w:left="284" w:hanging="284"/>
        <w:jc w:val="both"/>
        <w:rPr>
          <w:rFonts w:asciiTheme="majorHAnsi" w:hAnsiTheme="majorHAnsi"/>
          <w:lang w:val="fr-CA"/>
        </w:rPr>
      </w:pPr>
      <w:r w:rsidRPr="00281102">
        <w:rPr>
          <w:rFonts w:asciiTheme="majorHAnsi" w:hAnsiTheme="majorHAnsi"/>
          <w:lang w:val="fr-CA"/>
        </w:rPr>
        <w:t>Des maxima de  l’énergie cinétique de la turbulence dans les zones de recirculation.</w:t>
      </w:r>
    </w:p>
    <w:p w:rsidR="003F7D98" w:rsidRPr="00281102" w:rsidRDefault="003F7D98" w:rsidP="003F7D98">
      <w:pPr>
        <w:numPr>
          <w:ilvl w:val="0"/>
          <w:numId w:val="1"/>
        </w:numPr>
        <w:tabs>
          <w:tab w:val="left" w:pos="360"/>
        </w:tabs>
        <w:spacing w:after="0" w:line="320" w:lineRule="exact"/>
        <w:ind w:left="284" w:hanging="284"/>
        <w:jc w:val="both"/>
        <w:rPr>
          <w:rFonts w:asciiTheme="majorHAnsi" w:hAnsiTheme="majorHAnsi"/>
          <w:bCs/>
        </w:rPr>
      </w:pPr>
      <w:r w:rsidRPr="00281102">
        <w:rPr>
          <w:rFonts w:asciiTheme="majorHAnsi" w:hAnsiTheme="majorHAnsi"/>
          <w:iCs/>
          <w:lang w:val="fr-CA"/>
        </w:rPr>
        <w:t xml:space="preserve">Une valeur asymptotique pour les coefficients de pression au delà du point de stagnation. </w:t>
      </w:r>
    </w:p>
    <w:p w:rsidR="003F7D98" w:rsidRPr="00582361" w:rsidRDefault="003F7D98" w:rsidP="003F7D98">
      <w:pPr>
        <w:numPr>
          <w:ilvl w:val="0"/>
          <w:numId w:val="1"/>
        </w:numPr>
        <w:tabs>
          <w:tab w:val="left" w:pos="360"/>
        </w:tabs>
        <w:spacing w:after="0" w:line="320" w:lineRule="exact"/>
        <w:ind w:left="284" w:hanging="284"/>
        <w:jc w:val="both"/>
        <w:rPr>
          <w:rFonts w:asciiTheme="majorHAnsi" w:hAnsiTheme="majorHAnsi" w:cstheme="majorBidi"/>
        </w:rPr>
      </w:pPr>
      <w:r w:rsidRPr="00281102">
        <w:rPr>
          <w:rFonts w:asciiTheme="majorHAnsi" w:hAnsiTheme="majorHAnsi"/>
          <w:lang w:val="fr-CA"/>
        </w:rPr>
        <w:t>Des valeurs optimales sont bien visibles pour la pression</w:t>
      </w:r>
      <w:r>
        <w:rPr>
          <w:rFonts w:asciiTheme="majorHAnsi" w:hAnsiTheme="majorHAnsi"/>
          <w:lang w:val="fr-CA"/>
        </w:rPr>
        <w:t xml:space="preserve"> aux points de stagnation.</w:t>
      </w:r>
    </w:p>
    <w:p w:rsidR="00582361" w:rsidRPr="00582361" w:rsidRDefault="00582361" w:rsidP="003F7D98">
      <w:pPr>
        <w:numPr>
          <w:ilvl w:val="0"/>
          <w:numId w:val="1"/>
        </w:numPr>
        <w:tabs>
          <w:tab w:val="left" w:pos="360"/>
        </w:tabs>
        <w:spacing w:after="0" w:line="320" w:lineRule="exact"/>
        <w:ind w:left="284" w:hanging="284"/>
        <w:jc w:val="both"/>
        <w:rPr>
          <w:rFonts w:asciiTheme="majorHAnsi" w:hAnsiTheme="majorHAnsi" w:cstheme="majorBidi"/>
        </w:rPr>
      </w:pPr>
      <w:r w:rsidRPr="00582361">
        <w:rPr>
          <w:rFonts w:asciiTheme="majorHAnsi" w:hAnsiTheme="majorHAnsi" w:cstheme="majorBidi"/>
        </w:rPr>
        <w:t>Le soufflage et l’aspiration réduisent jusqu’au tiers la distance de recollement</w:t>
      </w:r>
    </w:p>
    <w:p w:rsidR="003F7D98" w:rsidRDefault="003F7D98" w:rsidP="003F7D98">
      <w:pPr>
        <w:tabs>
          <w:tab w:val="left" w:pos="360"/>
        </w:tabs>
        <w:spacing w:after="0" w:line="320" w:lineRule="exact"/>
        <w:jc w:val="both"/>
        <w:rPr>
          <w:rFonts w:asciiTheme="majorHAnsi" w:hAnsiTheme="majorHAnsi" w:cstheme="majorBidi"/>
          <w:sz w:val="24"/>
          <w:szCs w:val="24"/>
        </w:rPr>
      </w:pPr>
      <w:r w:rsidRPr="00281102">
        <w:rPr>
          <w:rFonts w:asciiTheme="majorHAnsi" w:hAnsiTheme="majorHAnsi" w:cstheme="minorHAnsi"/>
          <w:sz w:val="24"/>
          <w:szCs w:val="24"/>
        </w:rPr>
        <w:t xml:space="preserve">D’une manière générale, </w:t>
      </w:r>
      <w:r>
        <w:rPr>
          <w:rFonts w:asciiTheme="majorHAnsi" w:hAnsiTheme="majorHAnsi" w:cstheme="minorHAnsi"/>
          <w:sz w:val="24"/>
          <w:szCs w:val="24"/>
        </w:rPr>
        <w:t>le  modèle utilisé</w:t>
      </w:r>
      <w:r w:rsidRPr="00281102">
        <w:rPr>
          <w:rFonts w:asciiTheme="majorHAnsi" w:hAnsiTheme="majorHAnsi" w:cstheme="minorHAnsi"/>
          <w:sz w:val="24"/>
          <w:szCs w:val="24"/>
        </w:rPr>
        <w:t xml:space="preserve"> </w:t>
      </w:r>
      <w:r>
        <w:rPr>
          <w:rFonts w:asciiTheme="majorHAnsi" w:hAnsiTheme="majorHAnsi" w:cstheme="minorHAnsi"/>
          <w:sz w:val="24"/>
          <w:szCs w:val="24"/>
        </w:rPr>
        <w:t>a</w:t>
      </w:r>
      <w:r w:rsidRPr="00281102">
        <w:rPr>
          <w:rFonts w:asciiTheme="majorHAnsi" w:hAnsiTheme="majorHAnsi" w:cstheme="minorHAnsi"/>
          <w:sz w:val="24"/>
          <w:szCs w:val="24"/>
        </w:rPr>
        <w:t xml:space="preserve"> permis de simuler assez correctement les caractéristiques </w:t>
      </w:r>
      <w:r>
        <w:rPr>
          <w:rFonts w:asciiTheme="majorHAnsi" w:hAnsiTheme="majorHAnsi" w:cstheme="minorHAnsi"/>
          <w:sz w:val="24"/>
          <w:szCs w:val="24"/>
        </w:rPr>
        <w:t>de ce type d</w:t>
      </w:r>
      <w:r w:rsidRPr="00281102">
        <w:rPr>
          <w:rFonts w:asciiTheme="majorHAnsi" w:hAnsiTheme="majorHAnsi" w:cstheme="minorHAnsi"/>
          <w:sz w:val="24"/>
          <w:szCs w:val="24"/>
        </w:rPr>
        <w:t>’écoulement en comparaison avec plusieurs études antérieures.</w:t>
      </w:r>
    </w:p>
    <w:p w:rsidR="003F7D98" w:rsidRPr="003D6DDD" w:rsidRDefault="00967712" w:rsidP="003F7D98">
      <w:pPr>
        <w:tabs>
          <w:tab w:val="left" w:pos="360"/>
        </w:tabs>
        <w:spacing w:after="0" w:line="320" w:lineRule="exact"/>
        <w:jc w:val="both"/>
        <w:rPr>
          <w:rFonts w:asciiTheme="majorHAnsi" w:hAnsiTheme="majorHAnsi" w:cstheme="majorBidi"/>
          <w:sz w:val="24"/>
          <w:szCs w:val="24"/>
        </w:rPr>
      </w:pPr>
      <w:r w:rsidRPr="00967712">
        <w:rPr>
          <w:rFonts w:asciiTheme="majorHAnsi" w:hAnsiTheme="majorHAnsi" w:cstheme="majorBidi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0.5pt;margin-top:6pt;width:424.1pt;height:0;z-index:251660288" o:connectortype="straight"/>
        </w:pict>
      </w:r>
    </w:p>
    <w:p w:rsidR="00182ED3" w:rsidRDefault="00182ED3"/>
    <w:sectPr w:rsidR="00182ED3" w:rsidSect="00182E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509B2"/>
    <w:multiLevelType w:val="hybridMultilevel"/>
    <w:tmpl w:val="61EE62AA"/>
    <w:lvl w:ilvl="0" w:tplc="D98EB50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F7D98"/>
    <w:rsid w:val="00182ED3"/>
    <w:rsid w:val="003F7D98"/>
    <w:rsid w:val="00582361"/>
    <w:rsid w:val="009677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7D98"/>
    <w:rPr>
      <w:rFonts w:eastAsiaTheme="minorEastAsia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3F7D9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F7D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fr-FR"/>
    </w:rPr>
  </w:style>
  <w:style w:type="paragraph" w:styleId="Corpsdetexte">
    <w:name w:val="Body Text"/>
    <w:basedOn w:val="Normal"/>
    <w:link w:val="CorpsdetexteCar"/>
    <w:rsid w:val="003F7D9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rsid w:val="003F7D9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F7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F7D98"/>
    <w:rPr>
      <w:rFonts w:ascii="Tahoma" w:eastAsiaTheme="minorEastAsia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457</Words>
  <Characters>2516</Characters>
  <Application>Microsoft Office Word</Application>
  <DocSecurity>0</DocSecurity>
  <Lines>20</Lines>
  <Paragraphs>5</Paragraphs>
  <ScaleCrop>false</ScaleCrop>
  <Company>Hewlett-Packard Company</Company>
  <LinksUpToDate>false</LinksUpToDate>
  <CharactersWithSpaces>2968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2013-06-27T14:04:00Z</dcterms:created>
  <dcterms:modified xsi:type="dcterms:W3CDTF">2013-06-27T14:04:00Z</dcterms:modified>
</cp:coreProperties>
</file>