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30B96" w:rsidRDefault="00B30B96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C34C5F" w:rsidRDefault="00C34C5F" w:rsidP="00C34C5F">
      <w:pPr>
        <w:spacing w:after="0"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B30B96">
        <w:rPr>
          <w:rFonts w:asciiTheme="majorBidi" w:hAnsiTheme="majorBidi" w:cstheme="majorBidi"/>
          <w:b/>
          <w:bCs/>
          <w:sz w:val="24"/>
          <w:szCs w:val="24"/>
          <w:u w:val="single"/>
        </w:rPr>
        <w:t>Résumé</w:t>
      </w:r>
      <w:r w:rsidRPr="00C47E41">
        <w:rPr>
          <w:rFonts w:asciiTheme="majorBidi" w:hAnsiTheme="majorBidi" w:cstheme="majorBidi"/>
          <w:b/>
          <w:bCs/>
          <w:sz w:val="24"/>
          <w:szCs w:val="24"/>
        </w:rPr>
        <w:t> :</w:t>
      </w:r>
    </w:p>
    <w:p w:rsidR="00C34C5F" w:rsidRDefault="00C34C5F" w:rsidP="00C34C5F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C34C5F" w:rsidRDefault="00C34C5F" w:rsidP="00D24C2C">
      <w:pPr>
        <w:spacing w:after="0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771ADB">
        <w:rPr>
          <w:rFonts w:asciiTheme="majorBidi" w:hAnsiTheme="majorBidi" w:cstheme="majorBidi"/>
          <w:sz w:val="24"/>
          <w:szCs w:val="24"/>
        </w:rPr>
        <w:t xml:space="preserve">Le but de notre étude est d'étudier l'influence d'un régime hyper lipidique (RHL) sur la biochimie, les paramètres du stress oxydant, et la structure du système </w:t>
      </w:r>
      <w:r>
        <w:rPr>
          <w:rFonts w:asciiTheme="majorBidi" w:hAnsiTheme="majorBidi" w:cstheme="majorBidi"/>
          <w:sz w:val="24"/>
          <w:szCs w:val="24"/>
        </w:rPr>
        <w:t xml:space="preserve">cardiovasculaire </w:t>
      </w:r>
      <w:r w:rsidRPr="00771ADB">
        <w:rPr>
          <w:rFonts w:asciiTheme="majorBidi" w:hAnsiTheme="majorBidi" w:cstheme="majorBidi"/>
          <w:sz w:val="24"/>
          <w:szCs w:val="24"/>
        </w:rPr>
        <w:t>chez les modèles pré-pubères mâles et femelles. L’étude concerne 24 lapins pré-pubères rép</w:t>
      </w:r>
      <w:r>
        <w:rPr>
          <w:rFonts w:asciiTheme="majorBidi" w:hAnsiTheme="majorBidi" w:cstheme="majorBidi"/>
          <w:sz w:val="24"/>
          <w:szCs w:val="24"/>
        </w:rPr>
        <w:t>artis en  lots de</w:t>
      </w:r>
      <w:r w:rsidRPr="00771ADB">
        <w:rPr>
          <w:rFonts w:asciiTheme="majorBidi" w:hAnsiTheme="majorBidi" w:cstheme="majorBidi"/>
          <w:sz w:val="24"/>
          <w:szCs w:val="24"/>
        </w:rPr>
        <w:t xml:space="preserve"> mâles et fem</w:t>
      </w:r>
      <w:r w:rsidR="00D24C2C">
        <w:rPr>
          <w:rFonts w:asciiTheme="majorBidi" w:hAnsiTheme="majorBidi" w:cstheme="majorBidi"/>
          <w:sz w:val="24"/>
          <w:szCs w:val="24"/>
        </w:rPr>
        <w:t xml:space="preserve">elles témoins et soumis au RHL durant </w:t>
      </w:r>
      <w:r w:rsidRPr="00771ADB">
        <w:rPr>
          <w:rFonts w:asciiTheme="majorBidi" w:hAnsiTheme="majorBidi" w:cstheme="majorBidi"/>
          <w:sz w:val="24"/>
          <w:szCs w:val="24"/>
        </w:rPr>
        <w:t>3 mois. Les poids corporel et cardiaque ainsi que certains paramètres biochimiques et du stress oxydant sont évalués dans le plasma et le ventricule</w:t>
      </w:r>
      <w:r>
        <w:rPr>
          <w:rFonts w:asciiTheme="majorBidi" w:hAnsiTheme="majorBidi" w:cstheme="majorBidi"/>
          <w:sz w:val="24"/>
          <w:szCs w:val="24"/>
        </w:rPr>
        <w:t xml:space="preserve"> cardiaque</w:t>
      </w:r>
      <w:r w:rsidRPr="00771ADB">
        <w:rPr>
          <w:rFonts w:asciiTheme="majorBidi" w:hAnsiTheme="majorBidi" w:cstheme="majorBidi"/>
          <w:sz w:val="24"/>
          <w:szCs w:val="24"/>
        </w:rPr>
        <w:t xml:space="preserve"> gauche</w:t>
      </w:r>
      <w:r>
        <w:rPr>
          <w:rFonts w:asciiTheme="majorBidi" w:hAnsiTheme="majorBidi" w:cstheme="majorBidi"/>
          <w:sz w:val="24"/>
          <w:szCs w:val="24"/>
        </w:rPr>
        <w:t>.</w:t>
      </w:r>
      <w:r w:rsidRPr="00C37B1D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Notre étude montre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que </w:t>
      </w:r>
      <w:r w:rsidR="000B75B2">
        <w:rPr>
          <w:rFonts w:asciiTheme="majorBidi" w:hAnsiTheme="majorBidi" w:cstheme="majorBidi"/>
          <w:color w:val="000000" w:themeColor="text1"/>
          <w:sz w:val="24"/>
          <w:szCs w:val="24"/>
        </w:rPr>
        <w:t>l</w:t>
      </w:r>
      <w:r w:rsidR="000B75B2" w:rsidRPr="00C37B1D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 consommation d’un RHL à un jeune âge induit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la lipotoxicité</w:t>
      </w:r>
      <w:r w:rsidR="000B75B2">
        <w:rPr>
          <w:rFonts w:asciiTheme="majorBidi" w:hAnsiTheme="majorBidi" w:cstheme="majorBidi"/>
          <w:color w:val="000000" w:themeColor="text1"/>
          <w:sz w:val="24"/>
          <w:szCs w:val="24"/>
        </w:rPr>
        <w:t>qui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exerce un effet </w:t>
      </w:r>
      <w:r w:rsidRPr="00C37B1D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négatif sur le plasma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particulièrement chez le mâle mais, </w:t>
      </w:r>
      <w:r w:rsidRPr="00C37B1D">
        <w:rPr>
          <w:rFonts w:asciiTheme="majorBidi" w:hAnsiTheme="majorBidi" w:cstheme="majorBidi"/>
          <w:color w:val="000000" w:themeColor="text1"/>
          <w:sz w:val="24"/>
          <w:szCs w:val="24"/>
        </w:rPr>
        <w:t>elle affecte cependant plus l'ultrastructure cardiaque de la  femelle</w:t>
      </w:r>
      <w:bookmarkStart w:id="0" w:name="_GoBack"/>
      <w:bookmarkEnd w:id="0"/>
      <w:r w:rsidRPr="00C37B1D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C34C5F" w:rsidRDefault="00C34C5F" w:rsidP="00C34C5F"/>
    <w:p w:rsidR="00C34C5F" w:rsidRDefault="00C34C5F" w:rsidP="00C34C5F"/>
    <w:p w:rsidR="002A2152" w:rsidRDefault="002A2152"/>
    <w:sectPr w:rsidR="002A2152" w:rsidSect="00AB4F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C34C5F"/>
    <w:rsid w:val="000B75B2"/>
    <w:rsid w:val="002A2152"/>
    <w:rsid w:val="00AB4FE4"/>
    <w:rsid w:val="00B30B96"/>
    <w:rsid w:val="00C34C5F"/>
    <w:rsid w:val="00D24C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4C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4C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117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b-13</cp:lastModifiedBy>
  <cp:revision>2</cp:revision>
  <dcterms:created xsi:type="dcterms:W3CDTF">2019-02-27T18:21:00Z</dcterms:created>
  <dcterms:modified xsi:type="dcterms:W3CDTF">2019-11-12T01:50:00Z</dcterms:modified>
</cp:coreProperties>
</file>