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3166" w:rsidRPr="00E23166" w:rsidRDefault="00E23166" w:rsidP="00E23166">
      <w:pPr>
        <w:rPr>
          <w:rFonts w:eastAsiaTheme="minorHAnsi"/>
          <w:sz w:val="28"/>
          <w:szCs w:val="28"/>
        </w:rPr>
      </w:pPr>
      <w:r w:rsidRPr="00E23166">
        <w:rPr>
          <w:rFonts w:eastAsiaTheme="minorHAnsi"/>
          <w:sz w:val="28"/>
          <w:szCs w:val="28"/>
        </w:rPr>
        <w:t xml:space="preserve">La substitution de HNO3 par des </w:t>
      </w:r>
      <w:proofErr w:type="spellStart"/>
      <w:r w:rsidRPr="00E23166">
        <w:rPr>
          <w:rFonts w:eastAsiaTheme="minorHAnsi"/>
          <w:sz w:val="28"/>
          <w:szCs w:val="28"/>
        </w:rPr>
        <w:t>polyoxométallates</w:t>
      </w:r>
      <w:proofErr w:type="spellEnd"/>
      <w:r w:rsidRPr="00E23166">
        <w:rPr>
          <w:rFonts w:eastAsiaTheme="minorHAnsi"/>
          <w:sz w:val="28"/>
          <w:szCs w:val="28"/>
        </w:rPr>
        <w:t xml:space="preserve"> de type Dawson, catalyseurs non polluants, non toxiques et non corrosifs et l'utilisation du peroxyde d'hydrogène (H2O2) dans la synthèse de l'acide adipique qui peuvent donner lieu à un procédé respectueux de l'environnement,  font l'objet de notre étude. L'acide adipique (AA), est le composé de base  pour la production de fibres et de résines en polyamide, notamment le nylon (6,6-polyamide).</w:t>
      </w:r>
    </w:p>
    <w:p w:rsidR="00E23166" w:rsidRPr="00E23166" w:rsidRDefault="00E23166" w:rsidP="00E23166">
      <w:pPr>
        <w:rPr>
          <w:rFonts w:eastAsiaTheme="minorHAnsi"/>
          <w:sz w:val="28"/>
          <w:szCs w:val="28"/>
        </w:rPr>
      </w:pPr>
      <w:r w:rsidRPr="00E23166">
        <w:rPr>
          <w:rFonts w:eastAsiaTheme="minorHAnsi"/>
          <w:sz w:val="28"/>
          <w:szCs w:val="28"/>
        </w:rPr>
        <w:t xml:space="preserve">Dans le cadre de ce travail, nous nous sommes intéressés à l'utilisation des </w:t>
      </w:r>
      <w:proofErr w:type="spellStart"/>
      <w:r w:rsidRPr="00E23166">
        <w:rPr>
          <w:rFonts w:eastAsiaTheme="minorHAnsi"/>
          <w:sz w:val="28"/>
          <w:szCs w:val="28"/>
        </w:rPr>
        <w:t>polyoxométallates</w:t>
      </w:r>
      <w:proofErr w:type="spellEnd"/>
      <w:r w:rsidRPr="00E23166">
        <w:rPr>
          <w:rFonts w:eastAsiaTheme="minorHAnsi"/>
          <w:sz w:val="28"/>
          <w:szCs w:val="28"/>
        </w:rPr>
        <w:t xml:space="preserve"> de type Dawson de formule K6P2W18O62 (isomères ? et ?), K6P2Mo6W12O62 (isomère ?) et K7P2Mo5VW12O62  (isomère ?1) comme catalyseurs dans l'oxydation du </w:t>
      </w:r>
      <w:proofErr w:type="spellStart"/>
      <w:r w:rsidRPr="00E23166">
        <w:rPr>
          <w:rFonts w:eastAsiaTheme="minorHAnsi"/>
          <w:sz w:val="28"/>
          <w:szCs w:val="28"/>
        </w:rPr>
        <w:t>cyclohexanol</w:t>
      </w:r>
      <w:proofErr w:type="spellEnd"/>
      <w:r w:rsidRPr="00E23166">
        <w:rPr>
          <w:rFonts w:eastAsiaTheme="minorHAnsi"/>
          <w:sz w:val="28"/>
          <w:szCs w:val="28"/>
        </w:rPr>
        <w:t xml:space="preserve">, de la </w:t>
      </w:r>
      <w:proofErr w:type="spellStart"/>
      <w:r w:rsidRPr="00E23166">
        <w:rPr>
          <w:rFonts w:eastAsiaTheme="minorHAnsi"/>
          <w:sz w:val="28"/>
          <w:szCs w:val="28"/>
        </w:rPr>
        <w:t>cyclohexanone</w:t>
      </w:r>
      <w:proofErr w:type="spellEnd"/>
      <w:r w:rsidRPr="00E23166">
        <w:rPr>
          <w:rFonts w:eastAsiaTheme="minorHAnsi"/>
          <w:sz w:val="28"/>
          <w:szCs w:val="28"/>
        </w:rPr>
        <w:t xml:space="preserve"> et du mélange </w:t>
      </w:r>
      <w:proofErr w:type="spellStart"/>
      <w:r w:rsidRPr="00E23166">
        <w:rPr>
          <w:rFonts w:eastAsiaTheme="minorHAnsi"/>
          <w:sz w:val="28"/>
          <w:szCs w:val="28"/>
        </w:rPr>
        <w:t>cyclohexanol</w:t>
      </w:r>
      <w:proofErr w:type="spellEnd"/>
      <w:r w:rsidRPr="00E23166">
        <w:rPr>
          <w:rFonts w:eastAsiaTheme="minorHAnsi"/>
          <w:sz w:val="28"/>
          <w:szCs w:val="28"/>
        </w:rPr>
        <w:t xml:space="preserve">- </w:t>
      </w:r>
      <w:proofErr w:type="spellStart"/>
      <w:r w:rsidRPr="00E23166">
        <w:rPr>
          <w:rFonts w:eastAsiaTheme="minorHAnsi"/>
          <w:sz w:val="28"/>
          <w:szCs w:val="28"/>
        </w:rPr>
        <w:t>cyclohexanone</w:t>
      </w:r>
      <w:proofErr w:type="spellEnd"/>
      <w:r w:rsidRPr="00E23166">
        <w:rPr>
          <w:rFonts w:eastAsiaTheme="minorHAnsi"/>
          <w:sz w:val="28"/>
          <w:szCs w:val="28"/>
        </w:rPr>
        <w:t xml:space="preserve"> en acide adipique en présence de peroxyde d'hydrogène en phase liquide.</w:t>
      </w:r>
    </w:p>
    <w:p w:rsidR="00E23166" w:rsidRPr="00E23166" w:rsidRDefault="00E23166" w:rsidP="00E23166">
      <w:pPr>
        <w:rPr>
          <w:rFonts w:eastAsiaTheme="minorHAnsi"/>
          <w:sz w:val="28"/>
          <w:szCs w:val="28"/>
        </w:rPr>
      </w:pPr>
      <w:r w:rsidRPr="00E23166">
        <w:rPr>
          <w:rFonts w:eastAsiaTheme="minorHAnsi"/>
          <w:sz w:val="28"/>
          <w:szCs w:val="28"/>
        </w:rPr>
        <w:t xml:space="preserve">   Les </w:t>
      </w:r>
      <w:proofErr w:type="spellStart"/>
      <w:r w:rsidRPr="00E23166">
        <w:rPr>
          <w:rFonts w:eastAsiaTheme="minorHAnsi"/>
          <w:sz w:val="28"/>
          <w:szCs w:val="28"/>
        </w:rPr>
        <w:t>polyoxométallates</w:t>
      </w:r>
      <w:proofErr w:type="spellEnd"/>
      <w:r w:rsidRPr="00E23166">
        <w:rPr>
          <w:rFonts w:eastAsiaTheme="minorHAnsi"/>
          <w:sz w:val="28"/>
          <w:szCs w:val="28"/>
        </w:rPr>
        <w:t xml:space="preserve"> ont été préparés et caractérisés par spectroscopie </w:t>
      </w:r>
      <w:proofErr w:type="spellStart"/>
      <w:r w:rsidRPr="00E23166">
        <w:rPr>
          <w:rFonts w:eastAsiaTheme="minorHAnsi"/>
          <w:sz w:val="28"/>
          <w:szCs w:val="28"/>
        </w:rPr>
        <w:t>Infra-Rouge</w:t>
      </w:r>
      <w:proofErr w:type="spellEnd"/>
      <w:r w:rsidRPr="00E23166">
        <w:rPr>
          <w:rFonts w:eastAsiaTheme="minorHAnsi"/>
          <w:sz w:val="28"/>
          <w:szCs w:val="28"/>
        </w:rPr>
        <w:t xml:space="preserve"> à transformée de Fourrier (IRTF), RMN du 31P, spectroscopie UV-Visible et analyse thermique (ATG et ATD). La surface spécifique  des </w:t>
      </w:r>
      <w:proofErr w:type="spellStart"/>
      <w:r w:rsidRPr="00E23166">
        <w:rPr>
          <w:rFonts w:eastAsiaTheme="minorHAnsi"/>
          <w:sz w:val="28"/>
          <w:szCs w:val="28"/>
        </w:rPr>
        <w:t>POMs</w:t>
      </w:r>
      <w:proofErr w:type="spellEnd"/>
      <w:r w:rsidRPr="00E23166">
        <w:rPr>
          <w:rFonts w:eastAsiaTheme="minorHAnsi"/>
          <w:sz w:val="28"/>
          <w:szCs w:val="28"/>
        </w:rPr>
        <w:t xml:space="preserve"> a été déterminée par la méthode BET. </w:t>
      </w:r>
    </w:p>
    <w:p w:rsidR="00E23166" w:rsidRPr="00E23166" w:rsidRDefault="00E23166" w:rsidP="00E23166">
      <w:pPr>
        <w:rPr>
          <w:rFonts w:eastAsiaTheme="minorHAnsi"/>
          <w:sz w:val="28"/>
          <w:szCs w:val="28"/>
        </w:rPr>
      </w:pPr>
      <w:r w:rsidRPr="00E23166">
        <w:rPr>
          <w:rFonts w:eastAsiaTheme="minorHAnsi"/>
          <w:sz w:val="28"/>
          <w:szCs w:val="28"/>
        </w:rPr>
        <w:t xml:space="preserve">Les caractérisations  physico-chimiques ont montré que les surfaces spécifiques des </w:t>
      </w:r>
      <w:proofErr w:type="spellStart"/>
      <w:r w:rsidRPr="00E23166">
        <w:rPr>
          <w:rFonts w:eastAsiaTheme="minorHAnsi"/>
          <w:sz w:val="28"/>
          <w:szCs w:val="28"/>
        </w:rPr>
        <w:t>POMs</w:t>
      </w:r>
      <w:proofErr w:type="spellEnd"/>
      <w:r w:rsidRPr="00E23166">
        <w:rPr>
          <w:rFonts w:eastAsiaTheme="minorHAnsi"/>
          <w:sz w:val="28"/>
          <w:szCs w:val="28"/>
        </w:rPr>
        <w:t xml:space="preserve"> de Dawson  sont très faibles.  Les analyses spectrométriques IR et UV-Vis ont mis en évidence les bandes de vibration caractéristiques de l'anion de Dawson et une forte bande d'absorption associée  au transfert de charge oxygène-M (M : W(VI), Mo(VI) et V(V)) respectivement. En RMN du P31, les valeurs des déplacements chimiques dépendent de la composition et des positions relatives des atomes de W, Mo et V dans le </w:t>
      </w:r>
      <w:proofErr w:type="spellStart"/>
      <w:r w:rsidRPr="00E23166">
        <w:rPr>
          <w:rFonts w:eastAsiaTheme="minorHAnsi"/>
          <w:sz w:val="28"/>
          <w:szCs w:val="28"/>
        </w:rPr>
        <w:t>polyanion</w:t>
      </w:r>
      <w:proofErr w:type="spellEnd"/>
      <w:r w:rsidRPr="00E23166">
        <w:rPr>
          <w:rFonts w:eastAsiaTheme="minorHAnsi"/>
          <w:sz w:val="28"/>
          <w:szCs w:val="28"/>
        </w:rPr>
        <w:t xml:space="preserve"> de Dawson. L'analyse thermique a montré que la substitution des atomes de tungstène  par ceux du molybdène et/ou du vanadium  conduit à une réduction de la stabilité thermique des </w:t>
      </w:r>
      <w:proofErr w:type="spellStart"/>
      <w:r w:rsidRPr="00E23166">
        <w:rPr>
          <w:rFonts w:eastAsiaTheme="minorHAnsi"/>
          <w:sz w:val="28"/>
          <w:szCs w:val="28"/>
        </w:rPr>
        <w:t>POMs</w:t>
      </w:r>
      <w:proofErr w:type="spellEnd"/>
      <w:r w:rsidRPr="00E23166">
        <w:rPr>
          <w:rFonts w:eastAsiaTheme="minorHAnsi"/>
          <w:sz w:val="28"/>
          <w:szCs w:val="28"/>
        </w:rPr>
        <w:t xml:space="preserve"> (P2W18&gt;&gt; P2Mo6W12&gt; P2Mo5VW12). </w:t>
      </w:r>
    </w:p>
    <w:p w:rsidR="00E23166" w:rsidRPr="00E23166" w:rsidRDefault="00E23166" w:rsidP="00E23166">
      <w:pPr>
        <w:rPr>
          <w:rFonts w:eastAsiaTheme="minorHAnsi"/>
          <w:sz w:val="28"/>
          <w:szCs w:val="28"/>
        </w:rPr>
      </w:pPr>
      <w:r w:rsidRPr="00E23166">
        <w:rPr>
          <w:rFonts w:eastAsiaTheme="minorHAnsi"/>
          <w:sz w:val="28"/>
          <w:szCs w:val="28"/>
        </w:rPr>
        <w:t xml:space="preserve">Les tests catalytiques des </w:t>
      </w:r>
      <w:proofErr w:type="spellStart"/>
      <w:r w:rsidRPr="00E23166">
        <w:rPr>
          <w:rFonts w:eastAsiaTheme="minorHAnsi"/>
          <w:sz w:val="28"/>
          <w:szCs w:val="28"/>
        </w:rPr>
        <w:t>POMs</w:t>
      </w:r>
      <w:proofErr w:type="spellEnd"/>
      <w:r w:rsidRPr="00E23166">
        <w:rPr>
          <w:rFonts w:eastAsiaTheme="minorHAnsi"/>
          <w:sz w:val="28"/>
          <w:szCs w:val="28"/>
        </w:rPr>
        <w:t xml:space="preserve">, réalisés dans la synthèse de l'acide adipique ont montré que les conditions opératoires suivantes sont celles qui conduisent au rendement le plus élevé en acide adipique: une  masse de catalyseur de 0,125g,   une  vitesse d'agitation du mélange réactionnel de  800t/min et un temps d'agitation de 20h. L'étude de  l'influence de la composition du POM sur le rendement en AA a montré que P2W12Mo6   est le catalyseur le plus actif avec un  rendement en AA de 58,90 ;  58,45 et 68,49% à partir de l'oxydation du </w:t>
      </w:r>
      <w:proofErr w:type="spellStart"/>
      <w:r w:rsidRPr="00E23166">
        <w:rPr>
          <w:rFonts w:eastAsiaTheme="minorHAnsi"/>
          <w:sz w:val="28"/>
          <w:szCs w:val="28"/>
        </w:rPr>
        <w:t>cyclohexanol</w:t>
      </w:r>
      <w:proofErr w:type="spellEnd"/>
      <w:r w:rsidRPr="00E23166">
        <w:rPr>
          <w:rFonts w:eastAsiaTheme="minorHAnsi"/>
          <w:sz w:val="28"/>
          <w:szCs w:val="28"/>
        </w:rPr>
        <w:t xml:space="preserve">,   de la </w:t>
      </w:r>
      <w:proofErr w:type="spellStart"/>
      <w:r w:rsidRPr="00E23166">
        <w:rPr>
          <w:rFonts w:eastAsiaTheme="minorHAnsi"/>
          <w:sz w:val="28"/>
          <w:szCs w:val="28"/>
        </w:rPr>
        <w:t>cyclohexanone</w:t>
      </w:r>
      <w:proofErr w:type="spellEnd"/>
      <w:r w:rsidRPr="00E23166">
        <w:rPr>
          <w:rFonts w:eastAsiaTheme="minorHAnsi"/>
          <w:sz w:val="28"/>
          <w:szCs w:val="28"/>
        </w:rPr>
        <w:t xml:space="preserve"> et du  mélange </w:t>
      </w:r>
      <w:proofErr w:type="spellStart"/>
      <w:r w:rsidRPr="00E23166">
        <w:rPr>
          <w:rFonts w:eastAsiaTheme="minorHAnsi"/>
          <w:sz w:val="28"/>
          <w:szCs w:val="28"/>
        </w:rPr>
        <w:t>cyclohexanol</w:t>
      </w:r>
      <w:proofErr w:type="spellEnd"/>
      <w:r w:rsidRPr="00E23166">
        <w:rPr>
          <w:rFonts w:eastAsiaTheme="minorHAnsi"/>
          <w:sz w:val="28"/>
          <w:szCs w:val="28"/>
        </w:rPr>
        <w:t xml:space="preserve"> (50%)/ </w:t>
      </w:r>
      <w:proofErr w:type="spellStart"/>
      <w:r w:rsidRPr="00E23166">
        <w:rPr>
          <w:rFonts w:eastAsiaTheme="minorHAnsi"/>
          <w:sz w:val="28"/>
          <w:szCs w:val="28"/>
        </w:rPr>
        <w:t>cyclohexanone</w:t>
      </w:r>
      <w:proofErr w:type="spellEnd"/>
      <w:r w:rsidRPr="00E23166">
        <w:rPr>
          <w:rFonts w:eastAsiaTheme="minorHAnsi"/>
          <w:sz w:val="28"/>
          <w:szCs w:val="28"/>
        </w:rPr>
        <w:t xml:space="preserve"> (50%) respectivement.</w:t>
      </w:r>
    </w:p>
    <w:p w:rsidR="00793BD2" w:rsidRPr="00E23166" w:rsidRDefault="00E23166" w:rsidP="00E23166">
      <w:pPr>
        <w:rPr>
          <w:rFonts w:eastAsiaTheme="minorHAnsi"/>
          <w:szCs w:val="32"/>
        </w:rPr>
      </w:pPr>
      <w:r w:rsidRPr="00E23166">
        <w:rPr>
          <w:rFonts w:eastAsiaTheme="minorHAnsi"/>
          <w:sz w:val="28"/>
          <w:szCs w:val="28"/>
        </w:rPr>
        <w:t xml:space="preserve">La spectroscopie RMN du 31P des systèmes P/W/Mo et P/W/Mo/V,  après oxydation du </w:t>
      </w:r>
      <w:proofErr w:type="spellStart"/>
      <w:r w:rsidRPr="00E23166">
        <w:rPr>
          <w:rFonts w:eastAsiaTheme="minorHAnsi"/>
          <w:sz w:val="28"/>
          <w:szCs w:val="28"/>
        </w:rPr>
        <w:t>cyclohexanol</w:t>
      </w:r>
      <w:proofErr w:type="spellEnd"/>
      <w:r w:rsidRPr="00E23166">
        <w:rPr>
          <w:rFonts w:eastAsiaTheme="minorHAnsi"/>
          <w:sz w:val="28"/>
          <w:szCs w:val="28"/>
        </w:rPr>
        <w:t xml:space="preserve"> a montré  l'apparition d'une nouvelle espèce chimique présentant  un seul signal dont le déplacement chimique est différent de celui avant réaction qui pourrait être attribuée à l'espèce active " </w:t>
      </w:r>
      <w:proofErr w:type="spellStart"/>
      <w:r w:rsidRPr="00E23166">
        <w:rPr>
          <w:rFonts w:eastAsiaTheme="minorHAnsi"/>
          <w:sz w:val="28"/>
          <w:szCs w:val="28"/>
        </w:rPr>
        <w:t>peroxo</w:t>
      </w:r>
      <w:proofErr w:type="spellEnd"/>
      <w:r w:rsidRPr="00E23166">
        <w:rPr>
          <w:rFonts w:eastAsiaTheme="minorHAnsi"/>
          <w:sz w:val="28"/>
          <w:szCs w:val="28"/>
        </w:rPr>
        <w:t>-</w:t>
      </w:r>
      <w:proofErr w:type="spellStart"/>
      <w:r w:rsidRPr="00E23166">
        <w:rPr>
          <w:rFonts w:eastAsiaTheme="minorHAnsi"/>
          <w:sz w:val="28"/>
          <w:szCs w:val="28"/>
        </w:rPr>
        <w:t>POMox</w:t>
      </w:r>
      <w:proofErr w:type="spellEnd"/>
      <w:r w:rsidRPr="00E23166">
        <w:rPr>
          <w:rFonts w:eastAsiaTheme="minorHAnsi"/>
          <w:sz w:val="28"/>
          <w:szCs w:val="28"/>
        </w:rPr>
        <w:t xml:space="preserve"> ", favorable à la formation de l'acide adipique.</w:t>
      </w:r>
    </w:p>
    <w:sectPr w:rsidR="00793BD2" w:rsidRPr="00E23166" w:rsidSect="00B47601">
      <w:pgSz w:w="11906" w:h="16838"/>
      <w:pgMar w:top="1440" w:right="1080" w:bottom="1440" w:left="108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fullPage" w:percent="56"/>
  <w:proofState w:spelling="clean" w:grammar="clean"/>
  <w:defaultTabStop w:val="720"/>
  <w:drawingGridHorizontalSpacing w:val="100"/>
  <w:displayHorizontalDrawingGridEvery w:val="2"/>
  <w:characterSpacingControl w:val="doNotCompress"/>
  <w:compat/>
  <w:rsids>
    <w:rsidRoot w:val="006A108A"/>
    <w:rsid w:val="00047738"/>
    <w:rsid w:val="001175AD"/>
    <w:rsid w:val="00136D3E"/>
    <w:rsid w:val="00141723"/>
    <w:rsid w:val="00155263"/>
    <w:rsid w:val="00184147"/>
    <w:rsid w:val="001F37CB"/>
    <w:rsid w:val="0020427A"/>
    <w:rsid w:val="00222C21"/>
    <w:rsid w:val="00233C9A"/>
    <w:rsid w:val="00254E1D"/>
    <w:rsid w:val="00291B5E"/>
    <w:rsid w:val="0029386F"/>
    <w:rsid w:val="002A5D24"/>
    <w:rsid w:val="002A6604"/>
    <w:rsid w:val="00314098"/>
    <w:rsid w:val="00337EAA"/>
    <w:rsid w:val="00351310"/>
    <w:rsid w:val="003743D1"/>
    <w:rsid w:val="003824CB"/>
    <w:rsid w:val="003841A2"/>
    <w:rsid w:val="00396796"/>
    <w:rsid w:val="003A4565"/>
    <w:rsid w:val="00442FB2"/>
    <w:rsid w:val="00494964"/>
    <w:rsid w:val="004C50CA"/>
    <w:rsid w:val="004E21CC"/>
    <w:rsid w:val="00504B85"/>
    <w:rsid w:val="00563B56"/>
    <w:rsid w:val="005B13D3"/>
    <w:rsid w:val="005C6120"/>
    <w:rsid w:val="005D7EED"/>
    <w:rsid w:val="005F47AF"/>
    <w:rsid w:val="00632CD1"/>
    <w:rsid w:val="00635CD6"/>
    <w:rsid w:val="00675FE6"/>
    <w:rsid w:val="00693D84"/>
    <w:rsid w:val="006A108A"/>
    <w:rsid w:val="006A39AD"/>
    <w:rsid w:val="006F5BAA"/>
    <w:rsid w:val="00730B08"/>
    <w:rsid w:val="00793BD2"/>
    <w:rsid w:val="007F5613"/>
    <w:rsid w:val="00805DEF"/>
    <w:rsid w:val="00842D2E"/>
    <w:rsid w:val="0085156A"/>
    <w:rsid w:val="00884DD1"/>
    <w:rsid w:val="008D5A26"/>
    <w:rsid w:val="00970AC3"/>
    <w:rsid w:val="009A18B5"/>
    <w:rsid w:val="009A4E61"/>
    <w:rsid w:val="009C5EDF"/>
    <w:rsid w:val="009F7DE9"/>
    <w:rsid w:val="00A33BCB"/>
    <w:rsid w:val="00A66E4E"/>
    <w:rsid w:val="00A75938"/>
    <w:rsid w:val="00AC7F32"/>
    <w:rsid w:val="00B47601"/>
    <w:rsid w:val="00B70F84"/>
    <w:rsid w:val="00B74D9E"/>
    <w:rsid w:val="00BB73B1"/>
    <w:rsid w:val="00C235B0"/>
    <w:rsid w:val="00C718D4"/>
    <w:rsid w:val="00C72487"/>
    <w:rsid w:val="00CC647B"/>
    <w:rsid w:val="00D80BF9"/>
    <w:rsid w:val="00DB67EC"/>
    <w:rsid w:val="00DB6A24"/>
    <w:rsid w:val="00DF590C"/>
    <w:rsid w:val="00DF6566"/>
    <w:rsid w:val="00E07A43"/>
    <w:rsid w:val="00E23166"/>
    <w:rsid w:val="00E3302D"/>
    <w:rsid w:val="00E34C0C"/>
    <w:rsid w:val="00E463CE"/>
    <w:rsid w:val="00E63475"/>
    <w:rsid w:val="00EC1B06"/>
    <w:rsid w:val="00EC33B3"/>
    <w:rsid w:val="00ED23A1"/>
    <w:rsid w:val="00F11028"/>
    <w:rsid w:val="00F2493A"/>
    <w:rsid w:val="00F73A84"/>
    <w:rsid w:val="00FC3EA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47738"/>
    <w:pPr>
      <w:spacing w:after="0" w:line="240" w:lineRule="auto"/>
    </w:pPr>
    <w:rPr>
      <w:rFonts w:ascii="Times New Roman" w:eastAsia="Times New Roman" w:hAnsi="Times New Roman" w:cs="Times New Roman"/>
      <w:sz w:val="20"/>
      <w:szCs w:val="20"/>
      <w:lang w:val="fr-FR"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Corpsdetexte">
    <w:name w:val="Body Text"/>
    <w:basedOn w:val="Normal"/>
    <w:link w:val="CorpsdetexteCar"/>
    <w:semiHidden/>
    <w:rsid w:val="00047738"/>
    <w:pPr>
      <w:spacing w:line="360" w:lineRule="auto"/>
    </w:pPr>
    <w:rPr>
      <w:sz w:val="26"/>
      <w:szCs w:val="26"/>
    </w:rPr>
  </w:style>
  <w:style w:type="character" w:customStyle="1" w:styleId="CorpsdetexteCar">
    <w:name w:val="Corps de texte Car"/>
    <w:basedOn w:val="Policepardfaut"/>
    <w:link w:val="Corpsdetexte"/>
    <w:semiHidden/>
    <w:rsid w:val="00047738"/>
    <w:rPr>
      <w:rFonts w:ascii="Times New Roman" w:eastAsia="Times New Roman" w:hAnsi="Times New Roman" w:cs="Times New Roman"/>
      <w:sz w:val="26"/>
      <w:szCs w:val="26"/>
      <w:lang w:val="fr-FR" w:eastAsia="fr-FR"/>
    </w:rPr>
  </w:style>
  <w:style w:type="paragraph" w:styleId="Retraitcorpsdetexte3">
    <w:name w:val="Body Text Indent 3"/>
    <w:basedOn w:val="Normal"/>
    <w:link w:val="Retraitcorpsdetexte3Car"/>
    <w:uiPriority w:val="99"/>
    <w:semiHidden/>
    <w:unhideWhenUsed/>
    <w:rsid w:val="003841A2"/>
    <w:pPr>
      <w:spacing w:after="120"/>
      <w:ind w:left="283"/>
    </w:pPr>
    <w:rPr>
      <w:sz w:val="16"/>
      <w:szCs w:val="16"/>
    </w:rPr>
  </w:style>
  <w:style w:type="character" w:customStyle="1" w:styleId="Retraitcorpsdetexte3Car">
    <w:name w:val="Retrait corps de texte 3 Car"/>
    <w:basedOn w:val="Policepardfaut"/>
    <w:link w:val="Retraitcorpsdetexte3"/>
    <w:uiPriority w:val="99"/>
    <w:semiHidden/>
    <w:rsid w:val="003841A2"/>
    <w:rPr>
      <w:rFonts w:ascii="Times New Roman" w:eastAsia="Times New Roman" w:hAnsi="Times New Roman" w:cs="Times New Roman"/>
      <w:sz w:val="16"/>
      <w:szCs w:val="16"/>
      <w:lang w:val="fr-FR"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970</TotalTime>
  <Pages>1</Pages>
  <Words>424</Words>
  <Characters>2417</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2836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77</cp:revision>
  <dcterms:created xsi:type="dcterms:W3CDTF">2015-01-07T09:27:00Z</dcterms:created>
  <dcterms:modified xsi:type="dcterms:W3CDTF">2015-01-20T14:12:00Z</dcterms:modified>
</cp:coreProperties>
</file>