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28FC" w:rsidRPr="006E4E0A" w:rsidRDefault="006E4E0A" w:rsidP="009428FC">
      <w:pPr>
        <w:rPr>
          <w:rFonts w:asciiTheme="majorBidi" w:hAnsiTheme="majorBidi" w:cstheme="majorBidi"/>
          <w:i/>
          <w:iCs/>
          <w:sz w:val="28"/>
          <w:szCs w:val="28"/>
        </w:rPr>
      </w:pPr>
      <w:r w:rsidRPr="006E4E0A">
        <w:rPr>
          <w:rFonts w:asciiTheme="majorBidi" w:hAnsiTheme="majorBidi" w:cstheme="majorBidi"/>
          <w:i/>
          <w:iCs/>
          <w:sz w:val="28"/>
          <w:szCs w:val="28"/>
        </w:rPr>
        <w:t>Résumé</w:t>
      </w:r>
    </w:p>
    <w:p w:rsidR="006E4E0A" w:rsidRPr="006E4E0A" w:rsidRDefault="006E4E0A" w:rsidP="009428FC">
      <w:pPr>
        <w:rPr>
          <w:rFonts w:asciiTheme="majorBidi" w:hAnsiTheme="majorBidi" w:cstheme="majorBidi"/>
          <w:i/>
          <w:iCs/>
          <w:sz w:val="24"/>
          <w:szCs w:val="24"/>
        </w:rPr>
      </w:pPr>
    </w:p>
    <w:p w:rsidR="009428FC" w:rsidRDefault="009428FC" w:rsidP="006C5A97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24"/>
          <w:szCs w:val="24"/>
        </w:rPr>
      </w:pPr>
      <w:r w:rsidRPr="001C273B">
        <w:rPr>
          <w:rFonts w:asciiTheme="majorBidi" w:hAnsiTheme="majorBidi" w:cstheme="majorBidi"/>
          <w:sz w:val="24"/>
          <w:szCs w:val="24"/>
        </w:rPr>
        <w:t xml:space="preserve">Les maladies inflammatoires chroniques de l’intestin (MICI) regroupent les affections inflammatoires chroniques du tube digestif et sont principalement représentées par la recto-colite </w:t>
      </w:r>
      <w:proofErr w:type="spellStart"/>
      <w:r w:rsidR="004F0A2B">
        <w:rPr>
          <w:rFonts w:asciiTheme="majorBidi" w:hAnsiTheme="majorBidi" w:cstheme="majorBidi"/>
          <w:sz w:val="24"/>
          <w:szCs w:val="24"/>
        </w:rPr>
        <w:t>ulcéro</w:t>
      </w:r>
      <w:proofErr w:type="spellEnd"/>
      <w:r w:rsidR="004F0A2B">
        <w:rPr>
          <w:rFonts w:asciiTheme="majorBidi" w:hAnsiTheme="majorBidi" w:cstheme="majorBidi"/>
          <w:sz w:val="24"/>
          <w:szCs w:val="24"/>
        </w:rPr>
        <w:t>-</w:t>
      </w:r>
      <w:r w:rsidRPr="001C273B">
        <w:rPr>
          <w:rFonts w:asciiTheme="majorBidi" w:hAnsiTheme="majorBidi" w:cstheme="majorBidi"/>
          <w:sz w:val="24"/>
          <w:szCs w:val="24"/>
        </w:rPr>
        <w:t>hémorragique</w:t>
      </w:r>
      <w:r w:rsidR="002E31DD">
        <w:rPr>
          <w:rFonts w:asciiTheme="majorBidi" w:hAnsiTheme="majorBidi" w:cstheme="majorBidi"/>
          <w:sz w:val="24"/>
          <w:szCs w:val="24"/>
        </w:rPr>
        <w:t xml:space="preserve"> </w:t>
      </w:r>
      <w:r w:rsidRPr="001C273B">
        <w:rPr>
          <w:rFonts w:asciiTheme="majorBidi" w:hAnsiTheme="majorBidi" w:cstheme="majorBidi"/>
          <w:sz w:val="24"/>
          <w:szCs w:val="24"/>
        </w:rPr>
        <w:t>(RC</w:t>
      </w:r>
      <w:r w:rsidR="004F0A2B">
        <w:rPr>
          <w:rFonts w:asciiTheme="majorBidi" w:hAnsiTheme="majorBidi" w:cstheme="majorBidi"/>
          <w:sz w:val="24"/>
          <w:szCs w:val="24"/>
        </w:rPr>
        <w:t>U</w:t>
      </w:r>
      <w:r w:rsidR="002E31DD">
        <w:rPr>
          <w:rFonts w:asciiTheme="majorBidi" w:hAnsiTheme="majorBidi" w:cstheme="majorBidi"/>
          <w:sz w:val="24"/>
          <w:szCs w:val="24"/>
        </w:rPr>
        <w:t xml:space="preserve">H) et </w:t>
      </w:r>
      <w:r w:rsidRPr="001C273B">
        <w:rPr>
          <w:rFonts w:asciiTheme="majorBidi" w:hAnsiTheme="majorBidi" w:cstheme="majorBidi"/>
          <w:sz w:val="24"/>
          <w:szCs w:val="24"/>
        </w:rPr>
        <w:t xml:space="preserve"> la maladie de </w:t>
      </w:r>
      <w:proofErr w:type="spellStart"/>
      <w:r w:rsidRPr="001C273B">
        <w:rPr>
          <w:rFonts w:asciiTheme="majorBidi" w:hAnsiTheme="majorBidi" w:cstheme="majorBidi"/>
          <w:sz w:val="24"/>
          <w:szCs w:val="24"/>
        </w:rPr>
        <w:t>Crohn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(MC). Ces pathologies peuvent affecter la population pédiatrique de manière conséquente.</w:t>
      </w:r>
      <w:r w:rsidRPr="004162BE">
        <w:rPr>
          <w:rFonts w:asciiTheme="majorBidi" w:hAnsiTheme="majorBidi" w:cstheme="majorBidi"/>
          <w:sz w:val="24"/>
          <w:szCs w:val="24"/>
        </w:rPr>
        <w:t xml:space="preserve"> Les MICI sont des maladies multifactorielles</w:t>
      </w:r>
      <w:r>
        <w:rPr>
          <w:rFonts w:asciiTheme="majorBidi" w:hAnsiTheme="majorBidi" w:cstheme="majorBidi"/>
          <w:sz w:val="24"/>
          <w:szCs w:val="24"/>
        </w:rPr>
        <w:t xml:space="preserve"> où la composante génétique semble jouer un rôle important dans</w:t>
      </w:r>
      <w:r w:rsidR="00D44F48">
        <w:rPr>
          <w:rFonts w:asciiTheme="majorBidi" w:hAnsiTheme="majorBidi" w:cstheme="majorBidi"/>
          <w:sz w:val="24"/>
          <w:szCs w:val="24"/>
        </w:rPr>
        <w:t xml:space="preserve"> leur étiologie. Un total de 200</w:t>
      </w:r>
      <w:r w:rsidR="002E31DD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</w:rPr>
        <w:t>loci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ont été associé</w:t>
      </w:r>
      <w:r w:rsidR="00ED7652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 xml:space="preserve"> aux M</w:t>
      </w:r>
      <w:r w:rsidR="00D44F48">
        <w:rPr>
          <w:rFonts w:asciiTheme="majorBidi" w:hAnsiTheme="majorBidi" w:cstheme="majorBidi"/>
          <w:sz w:val="24"/>
          <w:szCs w:val="24"/>
        </w:rPr>
        <w:t xml:space="preserve">ICI. Ces </w:t>
      </w:r>
      <w:proofErr w:type="spellStart"/>
      <w:r w:rsidR="00D44F48">
        <w:rPr>
          <w:rFonts w:asciiTheme="majorBidi" w:hAnsiTheme="majorBidi" w:cstheme="majorBidi"/>
          <w:sz w:val="24"/>
          <w:szCs w:val="24"/>
        </w:rPr>
        <w:t>loci</w:t>
      </w:r>
      <w:proofErr w:type="spellEnd"/>
      <w:r w:rsidR="00D44F48">
        <w:rPr>
          <w:rFonts w:asciiTheme="majorBidi" w:hAnsiTheme="majorBidi" w:cstheme="majorBidi"/>
          <w:sz w:val="24"/>
          <w:szCs w:val="24"/>
        </w:rPr>
        <w:t xml:space="preserve"> comprennent de nombreux gènes de susceptibilité parfois commun</w:t>
      </w:r>
      <w:r w:rsidR="00031970">
        <w:rPr>
          <w:rFonts w:asciiTheme="majorBidi" w:hAnsiTheme="majorBidi" w:cstheme="majorBidi"/>
          <w:sz w:val="24"/>
          <w:szCs w:val="24"/>
        </w:rPr>
        <w:t>s</w:t>
      </w:r>
      <w:r w:rsidR="00D44F48">
        <w:rPr>
          <w:rFonts w:asciiTheme="majorBidi" w:hAnsiTheme="majorBidi" w:cstheme="majorBidi"/>
          <w:sz w:val="24"/>
          <w:szCs w:val="24"/>
        </w:rPr>
        <w:t xml:space="preserve"> entre MC et RCUH</w:t>
      </w:r>
      <w:r>
        <w:rPr>
          <w:rFonts w:asciiTheme="majorBidi" w:hAnsiTheme="majorBidi" w:cstheme="majorBidi"/>
          <w:sz w:val="24"/>
          <w:szCs w:val="24"/>
        </w:rPr>
        <w:t xml:space="preserve">. Parmi les gènes associés, on retrouve des gènes lié à l’immunité innée, l’immunité adaptative ou encore l’autophagie. </w:t>
      </w:r>
      <w:r>
        <w:rPr>
          <w:rFonts w:ascii="Times New Roman" w:hAnsi="Times New Roman" w:cs="Times New Roman"/>
          <w:sz w:val="24"/>
          <w:szCs w:val="24"/>
        </w:rPr>
        <w:t>Toutefois, la présence et la fréquence des mutations identifiées à ce jour sont très variables et</w:t>
      </w:r>
      <w:r w:rsidR="002E31D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diffèreraient dépendamment de la population et de l’ethnie considérées. De ce fait, il nous a paru</w:t>
      </w:r>
      <w:r w:rsidR="002E31D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essentiel d’apporter une première contribution à la connaissance des caractéristiques génétiques des</w:t>
      </w:r>
      <w:r w:rsidR="002E31D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MICI</w:t>
      </w:r>
      <w:r w:rsidR="002E31DD">
        <w:rPr>
          <w:rFonts w:ascii="Times New Roman" w:hAnsi="Times New Roman" w:cs="Times New Roman"/>
          <w:sz w:val="24"/>
          <w:szCs w:val="24"/>
        </w:rPr>
        <w:t xml:space="preserve"> </w:t>
      </w:r>
      <w:r w:rsidR="006C5A97">
        <w:rPr>
          <w:rFonts w:ascii="Times New Roman" w:hAnsi="Times New Roman" w:cs="Times New Roman"/>
          <w:sz w:val="24"/>
          <w:szCs w:val="24"/>
        </w:rPr>
        <w:t>pédiatrique</w:t>
      </w:r>
      <w:r w:rsidR="002E31DD">
        <w:rPr>
          <w:rFonts w:ascii="Times New Roman" w:hAnsi="Times New Roman" w:cs="Times New Roman"/>
          <w:sz w:val="24"/>
          <w:szCs w:val="24"/>
        </w:rPr>
        <w:t>s</w:t>
      </w:r>
      <w:r w:rsidR="006C5A97">
        <w:rPr>
          <w:rFonts w:ascii="Times New Roman" w:hAnsi="Times New Roman" w:cs="Times New Roman"/>
          <w:sz w:val="24"/>
          <w:szCs w:val="24"/>
        </w:rPr>
        <w:t xml:space="preserve"> dans</w:t>
      </w:r>
      <w:r>
        <w:rPr>
          <w:rFonts w:ascii="Times New Roman" w:hAnsi="Times New Roman" w:cs="Times New Roman"/>
          <w:sz w:val="24"/>
          <w:szCs w:val="24"/>
        </w:rPr>
        <w:t xml:space="preserve"> la population Algérienne. Notre travail a porté sur l’étude moléculaire par PCR-RFLP de</w:t>
      </w:r>
      <w:r w:rsidR="002E31DD">
        <w:rPr>
          <w:rFonts w:ascii="Times New Roman" w:hAnsi="Times New Roman" w:cs="Times New Roman"/>
          <w:sz w:val="24"/>
          <w:szCs w:val="24"/>
        </w:rPr>
        <w:t xml:space="preserve"> </w:t>
      </w:r>
      <w:r w:rsidR="006C5A97" w:rsidRPr="006C5A97">
        <w:rPr>
          <w:rFonts w:asciiTheme="majorBidi" w:hAnsiTheme="majorBidi" w:cstheme="majorBidi"/>
          <w:sz w:val="24"/>
          <w:szCs w:val="24"/>
        </w:rPr>
        <w:t>10</w:t>
      </w:r>
      <w:r w:rsidR="002E31DD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polymorphismes </w:t>
      </w:r>
      <w:r w:rsidR="006C5A97">
        <w:rPr>
          <w:rFonts w:ascii="Times New Roman" w:hAnsi="Times New Roman" w:cs="Times New Roman"/>
          <w:sz w:val="24"/>
          <w:szCs w:val="24"/>
        </w:rPr>
        <w:t xml:space="preserve">de type SNP au niveau </w:t>
      </w:r>
      <w:r>
        <w:rPr>
          <w:rFonts w:ascii="Times New Roman" w:hAnsi="Times New Roman" w:cs="Times New Roman"/>
          <w:sz w:val="24"/>
          <w:szCs w:val="24"/>
        </w:rPr>
        <w:t xml:space="preserve">des gènes </w:t>
      </w:r>
      <w:r w:rsidRPr="00ED7652">
        <w:rPr>
          <w:rFonts w:ascii="Times New Roman" w:hAnsi="Times New Roman" w:cs="Times New Roman"/>
          <w:i/>
          <w:iCs/>
          <w:sz w:val="24"/>
          <w:szCs w:val="24"/>
        </w:rPr>
        <w:t>NOD2/CARD15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ED7652">
        <w:rPr>
          <w:rFonts w:ascii="Times New Roman" w:hAnsi="Times New Roman" w:cs="Times New Roman"/>
          <w:i/>
          <w:iCs/>
          <w:sz w:val="24"/>
          <w:szCs w:val="24"/>
        </w:rPr>
        <w:t>MDR1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ED7652">
        <w:rPr>
          <w:rFonts w:ascii="Times New Roman" w:hAnsi="Times New Roman" w:cs="Times New Roman"/>
          <w:i/>
          <w:iCs/>
          <w:sz w:val="24"/>
          <w:szCs w:val="24"/>
        </w:rPr>
        <w:t>TLR4</w:t>
      </w:r>
      <w:r>
        <w:rPr>
          <w:rFonts w:ascii="Times New Roman" w:hAnsi="Times New Roman" w:cs="Times New Roman"/>
          <w:sz w:val="24"/>
          <w:szCs w:val="24"/>
        </w:rPr>
        <w:t xml:space="preserve"> et </w:t>
      </w:r>
      <w:r w:rsidRPr="00ED7652">
        <w:rPr>
          <w:rFonts w:ascii="Times New Roman" w:hAnsi="Times New Roman" w:cs="Times New Roman"/>
          <w:i/>
          <w:iCs/>
          <w:sz w:val="24"/>
          <w:szCs w:val="24"/>
        </w:rPr>
        <w:t>IL23R</w:t>
      </w:r>
      <w:r>
        <w:rPr>
          <w:rFonts w:ascii="Times New Roman" w:hAnsi="Times New Roman" w:cs="Times New Roman"/>
          <w:sz w:val="24"/>
          <w:szCs w:val="24"/>
        </w:rPr>
        <w:t xml:space="preserve"> au sein d’un groupe de patien</w:t>
      </w:r>
      <w:r w:rsidR="00ED7652">
        <w:rPr>
          <w:rFonts w:ascii="Times New Roman" w:hAnsi="Times New Roman" w:cs="Times New Roman"/>
          <w:sz w:val="24"/>
          <w:szCs w:val="24"/>
        </w:rPr>
        <w:t xml:space="preserve">ts MICI pédiatrique Algériens. </w:t>
      </w:r>
      <w:r>
        <w:rPr>
          <w:rFonts w:ascii="Times New Roman" w:hAnsi="Times New Roman" w:cs="Times New Roman"/>
          <w:sz w:val="24"/>
          <w:szCs w:val="24"/>
        </w:rPr>
        <w:t>Les fréquences de ces polymorphismes ont été d’une part comparées entre le groupe de patients MICI pédiatrique</w:t>
      </w:r>
      <w:r w:rsidR="00130446">
        <w:rPr>
          <w:rFonts w:ascii="Times New Roman" w:hAnsi="Times New Roman" w:cs="Times New Roman"/>
          <w:sz w:val="24"/>
          <w:szCs w:val="24"/>
        </w:rPr>
        <w:t>s</w:t>
      </w:r>
      <w:r w:rsidR="00ED7652">
        <w:rPr>
          <w:rFonts w:ascii="Times New Roman" w:hAnsi="Times New Roman" w:cs="Times New Roman"/>
          <w:sz w:val="24"/>
          <w:szCs w:val="24"/>
        </w:rPr>
        <w:t xml:space="preserve"> et le groupe de témoins. D’</w:t>
      </w:r>
      <w:r>
        <w:rPr>
          <w:rFonts w:ascii="Times New Roman" w:hAnsi="Times New Roman" w:cs="Times New Roman"/>
          <w:sz w:val="24"/>
          <w:szCs w:val="24"/>
        </w:rPr>
        <w:t>autre part ils ont été corrélés aux caractéristiques cliniques des patients MICI Algériens préalablement défini</w:t>
      </w:r>
      <w:r w:rsidR="00ED7652">
        <w:rPr>
          <w:rFonts w:ascii="Times New Roman" w:hAnsi="Times New Roman" w:cs="Times New Roman"/>
          <w:sz w:val="24"/>
          <w:szCs w:val="24"/>
        </w:rPr>
        <w:t>es</w:t>
      </w:r>
      <w:r>
        <w:rPr>
          <w:rFonts w:ascii="Times New Roman" w:hAnsi="Times New Roman" w:cs="Times New Roman"/>
          <w:sz w:val="24"/>
          <w:szCs w:val="24"/>
        </w:rPr>
        <w:t xml:space="preserve">. Le gène </w:t>
      </w:r>
      <w:r w:rsidRPr="00ED7652">
        <w:rPr>
          <w:rFonts w:ascii="Times New Roman" w:hAnsi="Times New Roman" w:cs="Times New Roman"/>
          <w:i/>
          <w:iCs/>
          <w:sz w:val="24"/>
          <w:szCs w:val="24"/>
        </w:rPr>
        <w:t>MDR1</w:t>
      </w:r>
      <w:r>
        <w:rPr>
          <w:rFonts w:ascii="Times New Roman" w:hAnsi="Times New Roman" w:cs="Times New Roman"/>
          <w:sz w:val="24"/>
          <w:szCs w:val="24"/>
        </w:rPr>
        <w:t xml:space="preserve"> est associé à la susceptibilité à la MC au sein du groupe étudié et corrèle avec le risque à la chirurgie. Le gène </w:t>
      </w:r>
      <w:r w:rsidRPr="00ED7652">
        <w:rPr>
          <w:rFonts w:ascii="Times New Roman" w:hAnsi="Times New Roman" w:cs="Times New Roman"/>
          <w:i/>
          <w:iCs/>
          <w:sz w:val="24"/>
          <w:szCs w:val="24"/>
        </w:rPr>
        <w:t>IL23R</w:t>
      </w:r>
      <w:r>
        <w:rPr>
          <w:rFonts w:ascii="Times New Roman" w:hAnsi="Times New Roman" w:cs="Times New Roman"/>
          <w:sz w:val="24"/>
          <w:szCs w:val="24"/>
        </w:rPr>
        <w:t xml:space="preserve"> au contraire est protecteur contr</w:t>
      </w:r>
      <w:r w:rsidR="007226B8">
        <w:rPr>
          <w:rFonts w:ascii="Times New Roman" w:hAnsi="Times New Roman" w:cs="Times New Roman"/>
          <w:sz w:val="24"/>
          <w:szCs w:val="24"/>
        </w:rPr>
        <w:t xml:space="preserve">e la MC. Les gènes </w:t>
      </w:r>
      <w:r w:rsidR="007226B8" w:rsidRPr="00ED7652">
        <w:rPr>
          <w:rFonts w:ascii="Times New Roman" w:hAnsi="Times New Roman" w:cs="Times New Roman"/>
          <w:i/>
          <w:iCs/>
          <w:sz w:val="24"/>
          <w:szCs w:val="24"/>
        </w:rPr>
        <w:t>NOD2/CARD15</w:t>
      </w:r>
      <w:r w:rsidR="007226B8">
        <w:rPr>
          <w:rFonts w:ascii="Times New Roman" w:hAnsi="Times New Roman" w:cs="Times New Roman"/>
          <w:sz w:val="24"/>
          <w:szCs w:val="24"/>
        </w:rPr>
        <w:t xml:space="preserve"> et </w:t>
      </w:r>
      <w:r w:rsidRPr="00ED7652">
        <w:rPr>
          <w:rFonts w:ascii="Times New Roman" w:hAnsi="Times New Roman" w:cs="Times New Roman"/>
          <w:i/>
          <w:iCs/>
          <w:sz w:val="24"/>
          <w:szCs w:val="24"/>
        </w:rPr>
        <w:t>TLR</w:t>
      </w:r>
      <w:r w:rsidR="007226B8" w:rsidRPr="00ED7652">
        <w:rPr>
          <w:rFonts w:ascii="Times New Roman" w:hAnsi="Times New Roman" w:cs="Times New Roman"/>
          <w:i/>
          <w:iCs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quand à eux ne sont pas associé</w:t>
      </w:r>
      <w:r w:rsidR="007226B8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aux MICI dans la</w:t>
      </w:r>
      <w:r w:rsidR="007A5F12">
        <w:rPr>
          <w:rFonts w:ascii="Times New Roman" w:hAnsi="Times New Roman" w:cs="Times New Roman"/>
          <w:sz w:val="24"/>
          <w:szCs w:val="24"/>
        </w:rPr>
        <w:t xml:space="preserve"> cohorte étudiée</w:t>
      </w:r>
      <w:r w:rsidR="007226B8">
        <w:rPr>
          <w:rFonts w:ascii="Times New Roman" w:hAnsi="Times New Roman" w:cs="Times New Roman"/>
          <w:sz w:val="24"/>
          <w:szCs w:val="24"/>
        </w:rPr>
        <w:t>. Cependant deux</w:t>
      </w:r>
      <w:r>
        <w:rPr>
          <w:rFonts w:ascii="Times New Roman" w:hAnsi="Times New Roman" w:cs="Times New Roman"/>
          <w:sz w:val="24"/>
          <w:szCs w:val="24"/>
        </w:rPr>
        <w:t xml:space="preserve"> nouvelle</w:t>
      </w:r>
      <w:r w:rsidR="007226B8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mutation</w:t>
      </w:r>
      <w:r w:rsidR="007226B8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au niveau du gène </w:t>
      </w:r>
      <w:r w:rsidRPr="00ED7652">
        <w:rPr>
          <w:rFonts w:ascii="Times New Roman" w:hAnsi="Times New Roman" w:cs="Times New Roman"/>
          <w:i/>
          <w:iCs/>
          <w:sz w:val="24"/>
          <w:szCs w:val="24"/>
        </w:rPr>
        <w:t>NO</w:t>
      </w:r>
      <w:r w:rsidR="007226B8" w:rsidRPr="00ED7652">
        <w:rPr>
          <w:rFonts w:ascii="Times New Roman" w:hAnsi="Times New Roman" w:cs="Times New Roman"/>
          <w:i/>
          <w:iCs/>
          <w:sz w:val="24"/>
          <w:szCs w:val="24"/>
        </w:rPr>
        <w:t>D2</w:t>
      </w:r>
      <w:r w:rsidR="007226B8">
        <w:rPr>
          <w:rFonts w:ascii="Times New Roman" w:hAnsi="Times New Roman" w:cs="Times New Roman"/>
          <w:sz w:val="24"/>
          <w:szCs w:val="24"/>
        </w:rPr>
        <w:t xml:space="preserve"> ont</w:t>
      </w:r>
      <w:r>
        <w:rPr>
          <w:rFonts w:ascii="Times New Roman" w:hAnsi="Times New Roman" w:cs="Times New Roman"/>
          <w:sz w:val="24"/>
          <w:szCs w:val="24"/>
        </w:rPr>
        <w:t xml:space="preserve"> été détectée</w:t>
      </w:r>
      <w:r w:rsidR="007226B8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par séquençage entier de l’exome. Ce qui </w:t>
      </w:r>
      <w:r w:rsidR="00ED7652">
        <w:rPr>
          <w:rFonts w:ascii="Times New Roman" w:hAnsi="Times New Roman" w:cs="Times New Roman"/>
          <w:sz w:val="24"/>
          <w:szCs w:val="24"/>
        </w:rPr>
        <w:t xml:space="preserve">pourrait </w:t>
      </w:r>
      <w:r>
        <w:rPr>
          <w:rFonts w:ascii="Times New Roman" w:hAnsi="Times New Roman" w:cs="Times New Roman"/>
          <w:sz w:val="24"/>
          <w:szCs w:val="24"/>
        </w:rPr>
        <w:t>redonne</w:t>
      </w:r>
      <w:r w:rsidR="00ED7652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 xml:space="preserve"> à ce gène son statut de gène de susceptibilité dans les MICI</w:t>
      </w:r>
      <w:r w:rsidR="00ED7652">
        <w:rPr>
          <w:rFonts w:ascii="Times New Roman" w:hAnsi="Times New Roman" w:cs="Times New Roman"/>
          <w:sz w:val="24"/>
          <w:szCs w:val="24"/>
        </w:rPr>
        <w:t xml:space="preserve"> pédiatriques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Theme="majorBidi" w:hAnsiTheme="majorBidi" w:cstheme="majorBidi"/>
          <w:sz w:val="24"/>
          <w:szCs w:val="24"/>
        </w:rPr>
        <w:t xml:space="preserve">Enfin, les données générées par notre étude confirment la complexité de ces pathologies et leur étiologie multifactorielle et polygénique. De plus, notre étude constitue une étape fondamentale dans la conception et/ou l’amélioration de la prise en charge clinique et thérapeutique adaptée aux différentes formes des MICI.  </w:t>
      </w:r>
    </w:p>
    <w:p w:rsidR="009428FC" w:rsidRDefault="009428FC" w:rsidP="009428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9428FC" w:rsidRPr="00CA78CC" w:rsidRDefault="009428FC" w:rsidP="009428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</w:p>
    <w:p w:rsidR="00D61259" w:rsidRDefault="00D61259">
      <w:bookmarkStart w:id="0" w:name="_GoBack"/>
      <w:bookmarkEnd w:id="0"/>
    </w:p>
    <w:p w:rsidR="009428FC" w:rsidRDefault="009428FC"/>
    <w:p w:rsidR="009428FC" w:rsidRDefault="009428FC"/>
    <w:p w:rsidR="009428FC" w:rsidRDefault="009428FC"/>
    <w:p w:rsidR="009428FC" w:rsidRDefault="009428FC"/>
    <w:p w:rsidR="009428FC" w:rsidRDefault="009428FC"/>
    <w:p w:rsidR="009428FC" w:rsidRDefault="009428FC"/>
    <w:sectPr w:rsidR="009428FC" w:rsidSect="00BE2302">
      <w:pgSz w:w="11906" w:h="16838"/>
      <w:pgMar w:top="1417" w:right="1417" w:bottom="1417" w:left="1417" w:header="708" w:footer="708" w:gutter="0"/>
      <w:pgBorders w:offsetFrom="page">
        <w:top w:val="single" w:sz="4" w:space="24" w:color="0070C0"/>
        <w:left w:val="single" w:sz="4" w:space="24" w:color="0070C0"/>
        <w:bottom w:val="single" w:sz="4" w:space="24" w:color="0070C0"/>
        <w:right w:val="single" w:sz="4" w:space="24" w:color="0070C0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F0BE0"/>
    <w:rsid w:val="00021A15"/>
    <w:rsid w:val="00031970"/>
    <w:rsid w:val="00032C1E"/>
    <w:rsid w:val="00080CD2"/>
    <w:rsid w:val="000A72A1"/>
    <w:rsid w:val="000C47B7"/>
    <w:rsid w:val="00130446"/>
    <w:rsid w:val="00154565"/>
    <w:rsid w:val="00154BD0"/>
    <w:rsid w:val="00163321"/>
    <w:rsid w:val="001F7AA0"/>
    <w:rsid w:val="00244071"/>
    <w:rsid w:val="002E31DD"/>
    <w:rsid w:val="003674A1"/>
    <w:rsid w:val="004F0A2B"/>
    <w:rsid w:val="00616848"/>
    <w:rsid w:val="006B43D7"/>
    <w:rsid w:val="006C5A97"/>
    <w:rsid w:val="006E4E0A"/>
    <w:rsid w:val="00706402"/>
    <w:rsid w:val="007226B8"/>
    <w:rsid w:val="007747E1"/>
    <w:rsid w:val="007A5F12"/>
    <w:rsid w:val="007F0BE0"/>
    <w:rsid w:val="0085377E"/>
    <w:rsid w:val="008B4EDE"/>
    <w:rsid w:val="008F6979"/>
    <w:rsid w:val="009428FC"/>
    <w:rsid w:val="00AF7892"/>
    <w:rsid w:val="00BA0D1F"/>
    <w:rsid w:val="00BE2302"/>
    <w:rsid w:val="00C177B3"/>
    <w:rsid w:val="00C20EE2"/>
    <w:rsid w:val="00C66AE9"/>
    <w:rsid w:val="00D44F48"/>
    <w:rsid w:val="00D61259"/>
    <w:rsid w:val="00E25160"/>
    <w:rsid w:val="00E30485"/>
    <w:rsid w:val="00E37DA6"/>
    <w:rsid w:val="00ED7652"/>
    <w:rsid w:val="00F0661E"/>
    <w:rsid w:val="00F97B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104241F0-F4B2-4CE3-A3FC-BA2AA623C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6125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shorttext">
    <w:name w:val="short_text"/>
    <w:basedOn w:val="Policepardfaut"/>
    <w:rsid w:val="00E37D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877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95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573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432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048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7874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84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12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565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597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36234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6315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076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364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85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1167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09058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761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508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502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930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519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24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D7312F-D357-4AAB-B110-3BEB6146F8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348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ONE</dc:creator>
  <cp:lastModifiedBy>naima</cp:lastModifiedBy>
  <cp:revision>8</cp:revision>
  <dcterms:created xsi:type="dcterms:W3CDTF">2017-01-02T05:24:00Z</dcterms:created>
  <dcterms:modified xsi:type="dcterms:W3CDTF">2017-11-09T10:55:00Z</dcterms:modified>
</cp:coreProperties>
</file>