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4F8" w:rsidRDefault="00D624F8" w:rsidP="00D624F8">
      <w:r>
        <w:t>Le comportement social des insectes est un résultat d'interactions complexes à différents niveaux d'organisation biologique, chimique et biochimique. Ces interactions exigent un langage complexe, basée sur des signaux chimiques spécialisés qui fournissent une syntaxe qui est plus profonde dans la complexité et plus riche en nuance que ce qui a été imaginé précédemment. La communication chimique a donc un rôle indispensable dans le système complexe d'une société d'insecte.</w:t>
      </w:r>
    </w:p>
    <w:p w:rsidR="00D624F8" w:rsidRDefault="00D624F8" w:rsidP="00D624F8">
      <w:r>
        <w:t xml:space="preserve">L'abeille Apis </w:t>
      </w:r>
      <w:proofErr w:type="spellStart"/>
      <w:r>
        <w:t>mellifera</w:t>
      </w:r>
      <w:proofErr w:type="spellEnd"/>
      <w:r>
        <w:t xml:space="preserve"> est le plus riche modèle pour la description des phéromones, principales acteurs de la chimie de communication. L'identification de la phéromone de couvain (Le Conte et al, 1990) a constituée une étape préalable qui a permit d'appréhender l'importance de ces molécules et du couvain lui-même dans la régulation sociale des abeilles. Ainsi, un même composé </w:t>
      </w:r>
      <w:proofErr w:type="spellStart"/>
      <w:r>
        <w:t>phéromonal</w:t>
      </w:r>
      <w:proofErr w:type="spellEnd"/>
      <w:r>
        <w:t xml:space="preserve"> est produit par plusieurs acteurs de la colonie et induit des réponses modificatrices et incitatrices différentes en fonction du contexte. Au niveau physiologique, l'effet modificateur de la phéromone de couvain sur les adultes de la colonie a été caractérisé sur la stimulation des glandes </w:t>
      </w:r>
      <w:proofErr w:type="spellStart"/>
      <w:r>
        <w:t>hypopharyngiennes</w:t>
      </w:r>
      <w:proofErr w:type="spellEnd"/>
      <w:r>
        <w:t xml:space="preserve"> des abeilles nourrices et par l'inhibition du développement de leurs ovaires (</w:t>
      </w:r>
      <w:proofErr w:type="spellStart"/>
      <w:r>
        <w:t>Mohammedi</w:t>
      </w:r>
      <w:proofErr w:type="spellEnd"/>
      <w:r>
        <w:t xml:space="preserve"> et al, 1996).</w:t>
      </w:r>
    </w:p>
    <w:p w:rsidR="00D624F8" w:rsidRDefault="00D624F8" w:rsidP="00D624F8">
      <w:r>
        <w:t xml:space="preserve">Notre travail repose sur l'hypothèse selon laquelle la réponse (positive ou négative) aux stimuli </w:t>
      </w:r>
      <w:proofErr w:type="spellStart"/>
      <w:r>
        <w:t>phéromonaux</w:t>
      </w:r>
      <w:proofErr w:type="spellEnd"/>
      <w:r>
        <w:t xml:space="preserve"> dépend de la race d'abeille étudiée. La comparaison des profils chimiques des larves d'abeilles locales (Apis </w:t>
      </w:r>
      <w:proofErr w:type="spellStart"/>
      <w:r>
        <w:t>mellifera</w:t>
      </w:r>
      <w:proofErr w:type="spellEnd"/>
      <w:r>
        <w:t xml:space="preserve"> </w:t>
      </w:r>
      <w:proofErr w:type="spellStart"/>
      <w:r>
        <w:t>intermissa</w:t>
      </w:r>
      <w:proofErr w:type="spellEnd"/>
      <w:r>
        <w:t xml:space="preserve"> et </w:t>
      </w:r>
      <w:proofErr w:type="spellStart"/>
      <w:r>
        <w:t>A.m.sahariensis</w:t>
      </w:r>
      <w:proofErr w:type="spellEnd"/>
      <w:r>
        <w:t xml:space="preserve">) a permis d'identifier d'un bouquet </w:t>
      </w:r>
      <w:proofErr w:type="spellStart"/>
      <w:r>
        <w:t>phéromonal</w:t>
      </w:r>
      <w:proofErr w:type="spellEnd"/>
      <w:r>
        <w:t xml:space="preserve"> qui est composé de 10 esters acides gras. Nos résultats ont montré aussi qu'avant l'</w:t>
      </w:r>
      <w:proofErr w:type="spellStart"/>
      <w:r>
        <w:t>operculation</w:t>
      </w:r>
      <w:proofErr w:type="spellEnd"/>
      <w:r>
        <w:t xml:space="preserve">, ces molécules sont présentes en grande quantité, beaucoup plus chez </w:t>
      </w:r>
      <w:proofErr w:type="spellStart"/>
      <w:r>
        <w:t>sahariensis</w:t>
      </w:r>
      <w:proofErr w:type="spellEnd"/>
      <w:r>
        <w:t xml:space="preserve"> que chez </w:t>
      </w:r>
      <w:proofErr w:type="spellStart"/>
      <w:r>
        <w:t>intermissa</w:t>
      </w:r>
      <w:proofErr w:type="spellEnd"/>
      <w:r>
        <w:t>. La première présente un pic important d'oléate d'éthyle (OE) (7 fois plus élevé qu'</w:t>
      </w:r>
      <w:proofErr w:type="spellStart"/>
      <w:r>
        <w:t>intermissa</w:t>
      </w:r>
      <w:proofErr w:type="spellEnd"/>
      <w:r>
        <w:t>).</w:t>
      </w:r>
    </w:p>
    <w:p w:rsidR="00D624F8" w:rsidRDefault="00D624F8" w:rsidP="00D624F8">
      <w:r>
        <w:t xml:space="preserve">Nos résultats montrent qu'en conditions contrôlées, l'OE stimule les glandes </w:t>
      </w:r>
      <w:proofErr w:type="spellStart"/>
      <w:r>
        <w:t>hypopharyngiennes</w:t>
      </w:r>
      <w:proofErr w:type="spellEnd"/>
      <w:r>
        <w:t xml:space="preserve">, à une concentration d'OE de 10-2, la quantité de protéines trouvée dans ces glandes est plus élevée que celle des autres concentrations (13% environ) et encore plus que les témoins (18%), alors que la consommation moyenne quotidienne du pollen (10,3±2mg) et du candi (18,7±3 mg) est resté constante. Cette évolution est remarquée qu'au 14eme jour de la vie adulte des abeilles. En condition naturelles, Les ouvrières telliennes pourraient moduler leurs comportement de nourrissage en faveur des larves sahariennes, puisque ces dernières dégagent plus d'esters entre autre l'OE, elles reçoivent plus de gelée royale et donc leur poids est plus élevé (1,5 plus grande). </w:t>
      </w:r>
    </w:p>
    <w:p w:rsidR="00D624F8" w:rsidRDefault="00D624F8" w:rsidP="00D624F8">
      <w:r>
        <w:t>Nos résultats renforcent les travaux de nos prédécesseurs (</w:t>
      </w:r>
      <w:proofErr w:type="spellStart"/>
      <w:r>
        <w:t>Mohammedi</w:t>
      </w:r>
      <w:proofErr w:type="spellEnd"/>
      <w:r>
        <w:t xml:space="preserve"> et al, 1996 ; Touiller et al, 1993 ; Le Conte et al, 1990). Il apparait évident que l'oléate d'éthyle agit comme molécule modificatrice sur développement des glandes </w:t>
      </w:r>
      <w:proofErr w:type="spellStart"/>
      <w:r>
        <w:t>hypopharyngiennes</w:t>
      </w:r>
      <w:proofErr w:type="spellEnd"/>
      <w:r>
        <w:t xml:space="preserve"> des abeilles nourrices, et que très probablement l'intensité de son effet est fonction de la quantité émise par les larves, hormis leur appartenance raciale. </w:t>
      </w:r>
    </w:p>
    <w:p w:rsidR="00C57802" w:rsidRPr="00B5008D" w:rsidRDefault="00C57802" w:rsidP="00B5008D"/>
    <w:sectPr w:rsidR="00C57802" w:rsidRPr="00B5008D" w:rsidSect="00C5780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01CAF"/>
    <w:rsid w:val="001B08EA"/>
    <w:rsid w:val="001C775A"/>
    <w:rsid w:val="00596C38"/>
    <w:rsid w:val="00601CAF"/>
    <w:rsid w:val="00AB7586"/>
    <w:rsid w:val="00B23559"/>
    <w:rsid w:val="00B5008D"/>
    <w:rsid w:val="00BC066A"/>
    <w:rsid w:val="00C4027A"/>
    <w:rsid w:val="00C57802"/>
    <w:rsid w:val="00D22347"/>
    <w:rsid w:val="00D624F8"/>
    <w:rsid w:val="00F22A76"/>
    <w:rsid w:val="00F31F04"/>
    <w:rsid w:val="00F753C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80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470</Words>
  <Characters>2590</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13</cp:revision>
  <dcterms:created xsi:type="dcterms:W3CDTF">2015-03-23T08:26:00Z</dcterms:created>
  <dcterms:modified xsi:type="dcterms:W3CDTF">2015-03-23T10:21:00Z</dcterms:modified>
</cp:coreProperties>
</file>