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Dans le but de valoriser le gaz naturel en général, et le méthane en particulier, notre laboratoire accorde une grande importance au reformage de celui-ci par les trois procédés catalytiques suivants :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Vaporeformage du méthane (VRM)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Oxydation partielle du méthane (OPM)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Reformage du méthane par CO2 (RMC)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Dans le présent travail, nous avons opté pour la réaction du reformage du méthane par le CO2, noté (RMC). Nous avons synthétisé des catalyseurs monométalliques à base de nickel supportés par différents oxydes -tel que (CaO, MgO, Al2O3, Al2O3-CeO2 et Al2O3-CaO)- par la méthode sol gel classique. Ensuite un tensioactif CTAB (Cetyle Triméthyl Ammonium Bromide) a été ajouté à une série similaire.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" La diffraction des rayons X, effectuée pour tous les catalyseurs, calcinés à 700°C montre que l'ajout du tensioactif améliore nettement la cristallinité de nos catalyseurs.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" L'analyse par Microscopie Electronique à Balayage (MEB) révèle de meilleures distributions des particules avec l'ajout du tensioactif.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" La surface spécifique, des catalyseurs calcinés à 700°C varie entre 2 et 40 m2/g.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" L'analyse chimique révèle que les valeurs expérimentales sont très proches des valeurs théoriques fixées au départ.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Le test catalytique effectué après réduction des catalyseurs sous hydrogène pendant 2h révèle que les solides préparés par sol gel +CTAB présentent de meilleures performances catalytiques par rapport à leurs homologues préparés sans l'ajout de CTAB. Cependant, les solides Ni/MgO et Ni/MgO+CTAB ne présentent aucune activité. </w:t>
      </w:r>
    </w:p>
    <w:p w:rsidR="00C81CAE" w:rsidRPr="00C81CAE" w:rsidRDefault="00C81CAE" w:rsidP="00C81CAE">
      <w:pPr>
        <w:bidi w:val="0"/>
        <w:rPr>
          <w:lang w:val="fr-FR" w:bidi="ar-DZ"/>
        </w:rPr>
      </w:pPr>
      <w:r w:rsidRPr="00C81CAE">
        <w:rPr>
          <w:lang w:val="fr-FR" w:bidi="ar-DZ"/>
        </w:rPr>
        <w:t xml:space="preserve">Le test de régénération pour les solides ayant de meilleures performances catalytiques présente des conversions et des sélectivités plus grandes ; l'augmentation du nombre de sites actifs dû à la réduction durant la nuit semble être à l'origine de cette amélioration. </w:t>
      </w:r>
    </w:p>
    <w:p w:rsidR="009575FA" w:rsidRPr="00C81CAE" w:rsidRDefault="00C81CAE" w:rsidP="00C81CAE">
      <w:pPr>
        <w:bidi w:val="0"/>
        <w:rPr>
          <w:rFonts w:hint="cs"/>
          <w:lang w:val="fr-FR" w:bidi="ar-DZ"/>
        </w:rPr>
      </w:pPr>
      <w:r w:rsidRPr="00C81CAE">
        <w:rPr>
          <w:lang w:val="fr-FR" w:bidi="ar-DZ"/>
        </w:rPr>
        <w:t>Le bilan carbone déterminé pour l'ensemble des catalyseurs est complet, il est confirmé par l'Analyse MEB après test catalytique.</w:t>
      </w:r>
    </w:p>
    <w:sectPr w:rsidR="009575FA" w:rsidRPr="00C81CA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C81CAE"/>
    <w:rsid w:val="005F47AF"/>
    <w:rsid w:val="009575FA"/>
    <w:rsid w:val="00C81C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75F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1659</Characters>
  <Application>Microsoft Office Word</Application>
  <DocSecurity>0</DocSecurity>
  <Lines>13</Lines>
  <Paragraphs>3</Paragraphs>
  <ScaleCrop>false</ScaleCrop>
  <Company/>
  <LinksUpToDate>false</LinksUpToDate>
  <CharactersWithSpaces>1947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2015-05-26T10:09:00Z</dcterms:created>
  <dcterms:modified xsi:type="dcterms:W3CDTF">2015-05-26T10:09:00Z</dcterms:modified>
</cp:coreProperties>
</file>