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349C" w:rsidRDefault="00A1349C" w:rsidP="00EA6E38">
      <w:pPr>
        <w:jc w:val="center"/>
        <w:rPr>
          <w:rFonts w:asciiTheme="majorBidi" w:hAnsiTheme="majorBidi" w:cstheme="majorBidi"/>
          <w:b/>
          <w:bCs/>
          <w:sz w:val="24"/>
          <w:szCs w:val="24"/>
        </w:rPr>
      </w:pPr>
    </w:p>
    <w:p w:rsidR="00A1349C" w:rsidRDefault="00A1349C" w:rsidP="00EA6E38">
      <w:pPr>
        <w:jc w:val="center"/>
        <w:rPr>
          <w:rFonts w:asciiTheme="majorBidi" w:hAnsiTheme="majorBidi" w:cstheme="majorBidi"/>
          <w:b/>
          <w:bCs/>
          <w:sz w:val="24"/>
          <w:szCs w:val="24"/>
        </w:rPr>
      </w:pPr>
    </w:p>
    <w:p w:rsidR="00A1349C" w:rsidRDefault="00A1349C" w:rsidP="00EA6E38">
      <w:pPr>
        <w:jc w:val="center"/>
        <w:rPr>
          <w:rFonts w:asciiTheme="majorBidi" w:hAnsiTheme="majorBidi" w:cstheme="majorBidi"/>
          <w:b/>
          <w:bCs/>
          <w:sz w:val="24"/>
          <w:szCs w:val="24"/>
        </w:rPr>
      </w:pPr>
    </w:p>
    <w:p w:rsidR="00A1349C" w:rsidRDefault="00A1349C" w:rsidP="00EA6E38">
      <w:pPr>
        <w:jc w:val="center"/>
        <w:rPr>
          <w:rFonts w:asciiTheme="majorBidi" w:hAnsiTheme="majorBidi" w:cstheme="majorBidi"/>
          <w:b/>
          <w:bCs/>
          <w:sz w:val="24"/>
          <w:szCs w:val="24"/>
        </w:rPr>
      </w:pPr>
    </w:p>
    <w:p w:rsidR="00EA6E38" w:rsidRPr="00555A03" w:rsidRDefault="00EA6E38" w:rsidP="00EA6E38">
      <w:pPr>
        <w:jc w:val="center"/>
        <w:rPr>
          <w:rFonts w:asciiTheme="majorBidi" w:hAnsiTheme="majorBidi" w:cstheme="majorBidi"/>
          <w:b/>
          <w:bCs/>
          <w:sz w:val="24"/>
          <w:szCs w:val="24"/>
        </w:rPr>
      </w:pPr>
      <w:r w:rsidRPr="00555A03">
        <w:rPr>
          <w:rFonts w:asciiTheme="majorBidi" w:hAnsiTheme="majorBidi" w:cstheme="majorBidi"/>
          <w:b/>
          <w:bCs/>
          <w:sz w:val="24"/>
          <w:szCs w:val="24"/>
        </w:rPr>
        <w:t>RESUME</w:t>
      </w:r>
    </w:p>
    <w:p w:rsidR="00EA6E38" w:rsidRPr="00555A03" w:rsidRDefault="00EA6E38" w:rsidP="00EA6E38">
      <w:pPr>
        <w:jc w:val="center"/>
        <w:rPr>
          <w:rFonts w:asciiTheme="majorBidi" w:hAnsiTheme="majorBidi" w:cstheme="majorBidi"/>
          <w:b/>
          <w:bCs/>
          <w:sz w:val="24"/>
          <w:szCs w:val="24"/>
        </w:rPr>
      </w:pPr>
    </w:p>
    <w:p w:rsidR="00EA6E38" w:rsidRPr="00555A03" w:rsidRDefault="00EA6E38" w:rsidP="00EA6E38">
      <w:pPr>
        <w:jc w:val="both"/>
        <w:rPr>
          <w:rFonts w:asciiTheme="majorBidi" w:hAnsiTheme="majorBidi" w:cstheme="majorBidi"/>
          <w:sz w:val="24"/>
          <w:szCs w:val="24"/>
        </w:rPr>
      </w:pPr>
    </w:p>
    <w:p w:rsidR="00EA6E38" w:rsidRPr="00555A03" w:rsidRDefault="00EA6E38" w:rsidP="00EA6E38">
      <w:pPr>
        <w:jc w:val="both"/>
        <w:rPr>
          <w:rFonts w:asciiTheme="majorBidi" w:hAnsiTheme="majorBidi" w:cstheme="majorBidi"/>
          <w:sz w:val="24"/>
          <w:szCs w:val="24"/>
        </w:rPr>
      </w:pPr>
    </w:p>
    <w:p w:rsidR="00EA6E38" w:rsidRPr="00555A03" w:rsidRDefault="00EA6E38" w:rsidP="00135ADC">
      <w:pPr>
        <w:ind w:firstLine="708"/>
        <w:jc w:val="both"/>
        <w:rPr>
          <w:rFonts w:asciiTheme="majorBidi" w:hAnsiTheme="majorBidi" w:cstheme="majorBidi"/>
          <w:sz w:val="24"/>
          <w:szCs w:val="24"/>
        </w:rPr>
      </w:pPr>
      <w:r w:rsidRPr="00555A03">
        <w:rPr>
          <w:rFonts w:asciiTheme="majorBidi" w:hAnsiTheme="majorBidi" w:cstheme="majorBidi"/>
          <w:sz w:val="24"/>
          <w:szCs w:val="24"/>
        </w:rPr>
        <w:t>Ce travail a pour objectif d’étudier les paramètres clés qui régissent les procédés d’adsorption sur charbon actif et de photocatalyse hétérogène, séparément et combinés, pour l’élimination des antibiotiques macrolides (spiramycine et tylosine) présents dans l’eau. Les expériences ont été effectuées</w:t>
      </w:r>
      <w:r w:rsidR="00135ADC">
        <w:rPr>
          <w:rFonts w:asciiTheme="majorBidi" w:hAnsiTheme="majorBidi" w:cstheme="majorBidi"/>
          <w:sz w:val="24"/>
          <w:szCs w:val="24"/>
        </w:rPr>
        <w:t xml:space="preserve"> </w:t>
      </w:r>
      <w:r w:rsidRPr="00555A03">
        <w:rPr>
          <w:rFonts w:asciiTheme="majorBidi" w:hAnsiTheme="majorBidi" w:cstheme="majorBidi"/>
          <w:sz w:val="24"/>
          <w:szCs w:val="24"/>
        </w:rPr>
        <w:t>en batch avec catalyseur/adsorbant en suspension et en recirculation avec catalyseur/adsorbant supporté</w:t>
      </w:r>
      <w:r>
        <w:rPr>
          <w:rFonts w:asciiTheme="majorBidi" w:hAnsiTheme="majorBidi" w:cstheme="majorBidi"/>
          <w:sz w:val="24"/>
          <w:szCs w:val="24"/>
        </w:rPr>
        <w:t xml:space="preserve">. </w:t>
      </w:r>
      <w:r w:rsidRPr="00555A03">
        <w:rPr>
          <w:rFonts w:asciiTheme="majorBidi" w:hAnsiTheme="majorBidi" w:cstheme="majorBidi"/>
          <w:sz w:val="24"/>
          <w:szCs w:val="24"/>
        </w:rPr>
        <w:t>Le réacteur tubulaire développé</w:t>
      </w:r>
      <w:r>
        <w:rPr>
          <w:rFonts w:asciiTheme="majorBidi" w:hAnsiTheme="majorBidi" w:cstheme="majorBidi"/>
          <w:sz w:val="24"/>
          <w:szCs w:val="24"/>
        </w:rPr>
        <w:t>,</w:t>
      </w:r>
      <w:r w:rsidRPr="00555A03">
        <w:rPr>
          <w:rFonts w:asciiTheme="majorBidi" w:hAnsiTheme="majorBidi" w:cstheme="majorBidi"/>
          <w:sz w:val="24"/>
          <w:szCs w:val="24"/>
        </w:rPr>
        <w:t xml:space="preserve"> </w:t>
      </w:r>
      <w:r>
        <w:rPr>
          <w:rFonts w:asciiTheme="majorBidi" w:hAnsiTheme="majorBidi" w:cstheme="majorBidi"/>
          <w:sz w:val="24"/>
          <w:szCs w:val="24"/>
        </w:rPr>
        <w:t xml:space="preserve">opérant avec recirculation, </w:t>
      </w:r>
      <w:r w:rsidRPr="00555A03">
        <w:rPr>
          <w:rFonts w:asciiTheme="majorBidi" w:hAnsiTheme="majorBidi" w:cstheme="majorBidi"/>
          <w:sz w:val="24"/>
          <w:szCs w:val="24"/>
        </w:rPr>
        <w:t>a montré un taux de dégradation satisfaisant (environ 90%), une faible consommation énergétique et une bonne performance d’opérations répétitive en réutilis</w:t>
      </w:r>
      <w:r>
        <w:rPr>
          <w:rFonts w:asciiTheme="majorBidi" w:hAnsiTheme="majorBidi" w:cstheme="majorBidi"/>
          <w:sz w:val="24"/>
          <w:szCs w:val="24"/>
        </w:rPr>
        <w:t>ant le même catalyseur supporté</w:t>
      </w:r>
      <w:r w:rsidR="00135ADC">
        <w:rPr>
          <w:rFonts w:asciiTheme="majorBidi" w:hAnsiTheme="majorBidi" w:cstheme="majorBidi"/>
          <w:sz w:val="24"/>
          <w:szCs w:val="24"/>
        </w:rPr>
        <w:t>. Le</w:t>
      </w:r>
      <w:r w:rsidRPr="00555A03">
        <w:rPr>
          <w:rFonts w:asciiTheme="majorBidi" w:hAnsiTheme="majorBidi" w:cstheme="majorBidi"/>
          <w:sz w:val="24"/>
          <w:szCs w:val="24"/>
        </w:rPr>
        <w:t xml:space="preserve"> couplage d</w:t>
      </w:r>
      <w:r w:rsidR="00135ADC">
        <w:rPr>
          <w:rFonts w:asciiTheme="majorBidi" w:hAnsiTheme="majorBidi" w:cstheme="majorBidi"/>
          <w:sz w:val="24"/>
          <w:szCs w:val="24"/>
        </w:rPr>
        <w:t>e la</w:t>
      </w:r>
      <w:r w:rsidRPr="00555A03">
        <w:rPr>
          <w:rFonts w:asciiTheme="majorBidi" w:hAnsiTheme="majorBidi" w:cstheme="majorBidi"/>
          <w:sz w:val="24"/>
          <w:szCs w:val="24"/>
        </w:rPr>
        <w:t xml:space="preserve"> photocatalyse TiO</w:t>
      </w:r>
      <w:r w:rsidRPr="00555A03">
        <w:rPr>
          <w:rFonts w:asciiTheme="majorBidi" w:hAnsiTheme="majorBidi" w:cstheme="majorBidi"/>
          <w:sz w:val="24"/>
          <w:szCs w:val="24"/>
          <w:vertAlign w:val="subscript"/>
        </w:rPr>
        <w:t>2</w:t>
      </w:r>
      <w:r w:rsidRPr="00555A03">
        <w:rPr>
          <w:rFonts w:asciiTheme="majorBidi" w:hAnsiTheme="majorBidi" w:cstheme="majorBidi"/>
          <w:sz w:val="24"/>
          <w:szCs w:val="24"/>
        </w:rPr>
        <w:t>/UV et d</w:t>
      </w:r>
      <w:r w:rsidR="00135ADC">
        <w:rPr>
          <w:rFonts w:asciiTheme="majorBidi" w:hAnsiTheme="majorBidi" w:cstheme="majorBidi"/>
          <w:sz w:val="24"/>
          <w:szCs w:val="24"/>
        </w:rPr>
        <w:t>e l</w:t>
      </w:r>
      <w:r w:rsidRPr="00555A03">
        <w:rPr>
          <w:rFonts w:asciiTheme="majorBidi" w:hAnsiTheme="majorBidi" w:cstheme="majorBidi"/>
          <w:sz w:val="24"/>
          <w:szCs w:val="24"/>
        </w:rPr>
        <w:t xml:space="preserve">’adsorption sur charbon actif a </w:t>
      </w:r>
      <w:r w:rsidR="00135ADC">
        <w:rPr>
          <w:rFonts w:asciiTheme="majorBidi" w:hAnsiTheme="majorBidi" w:cstheme="majorBidi"/>
          <w:sz w:val="24"/>
          <w:szCs w:val="24"/>
        </w:rPr>
        <w:t xml:space="preserve">montré </w:t>
      </w:r>
      <w:r w:rsidRPr="00555A03">
        <w:rPr>
          <w:rFonts w:asciiTheme="majorBidi" w:hAnsiTheme="majorBidi" w:cstheme="majorBidi"/>
          <w:sz w:val="24"/>
          <w:szCs w:val="24"/>
        </w:rPr>
        <w:t xml:space="preserve">un manque de synergie entre </w:t>
      </w:r>
      <w:r w:rsidR="00135ADC">
        <w:rPr>
          <w:rFonts w:asciiTheme="majorBidi" w:hAnsiTheme="majorBidi" w:cstheme="majorBidi"/>
          <w:sz w:val="24"/>
          <w:szCs w:val="24"/>
        </w:rPr>
        <w:t>les deux procédés</w:t>
      </w:r>
      <w:r w:rsidRPr="00555A03">
        <w:rPr>
          <w:rFonts w:asciiTheme="majorBidi" w:hAnsiTheme="majorBidi" w:cstheme="majorBidi"/>
          <w:sz w:val="24"/>
          <w:szCs w:val="24"/>
        </w:rPr>
        <w:t xml:space="preserve">. Par contre, dans le cas des fortes concentrations, une amélioration du taux de minéralisation a été observée. </w:t>
      </w:r>
    </w:p>
    <w:p w:rsidR="00EA6E38" w:rsidRPr="00555A03" w:rsidRDefault="00EA6E38" w:rsidP="00EA6E38">
      <w:pPr>
        <w:tabs>
          <w:tab w:val="left" w:pos="0"/>
        </w:tabs>
        <w:ind w:left="705"/>
        <w:jc w:val="both"/>
        <w:rPr>
          <w:rFonts w:asciiTheme="majorBidi" w:hAnsiTheme="majorBidi" w:cstheme="majorBidi"/>
          <w:sz w:val="24"/>
          <w:szCs w:val="24"/>
        </w:rPr>
      </w:pPr>
    </w:p>
    <w:p w:rsidR="00EA6E38" w:rsidRPr="00555A03" w:rsidRDefault="00EA6E38" w:rsidP="00EA6E38">
      <w:pPr>
        <w:jc w:val="both"/>
        <w:rPr>
          <w:rFonts w:asciiTheme="majorBidi" w:hAnsiTheme="majorBidi" w:cstheme="majorBidi"/>
          <w:sz w:val="24"/>
          <w:szCs w:val="24"/>
        </w:rPr>
      </w:pPr>
    </w:p>
    <w:sectPr w:rsidR="00EA6E38" w:rsidRPr="00555A03" w:rsidSect="00FF6ED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compat/>
  <w:rsids>
    <w:rsidRoot w:val="00EA6E38"/>
    <w:rsid w:val="00013154"/>
    <w:rsid w:val="00041452"/>
    <w:rsid w:val="00135ADC"/>
    <w:rsid w:val="0026616E"/>
    <w:rsid w:val="003424A5"/>
    <w:rsid w:val="00A1349C"/>
    <w:rsid w:val="00E64309"/>
    <w:rsid w:val="00EA6E38"/>
    <w:rsid w:val="00F87CF7"/>
    <w:rsid w:val="00FF6E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E38"/>
    <w:pPr>
      <w:spacing w:after="0" w:line="240"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378</TotalTime>
  <Pages>1</Pages>
  <Words>140</Words>
  <Characters>776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snc cws</dc:creator>
  <cp:lastModifiedBy>naima</cp:lastModifiedBy>
  <cp:revision>4</cp:revision>
  <cp:lastPrinted>2017-03-19T18:33:00Z</cp:lastPrinted>
  <dcterms:created xsi:type="dcterms:W3CDTF">2017-03-19T13:48:00Z</dcterms:created>
  <dcterms:modified xsi:type="dcterms:W3CDTF">2017-09-10T13:09:00Z</dcterms:modified>
</cp:coreProperties>
</file>