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784B" w:rsidRPr="00B5784B" w:rsidRDefault="00B5784B" w:rsidP="00B5784B">
      <w:pPr>
        <w:tabs>
          <w:tab w:val="left" w:pos="851"/>
          <w:tab w:val="left" w:pos="1474"/>
        </w:tabs>
        <w:jc w:val="both"/>
        <w:rPr>
          <w:rFonts w:ascii="Times New Roman" w:hAnsi="Times New Roman"/>
          <w:bCs/>
          <w:color w:val="000000"/>
          <w:sz w:val="20"/>
          <w:szCs w:val="20"/>
        </w:rPr>
      </w:pPr>
      <w:r w:rsidRPr="00B5784B">
        <w:rPr>
          <w:rFonts w:ascii="Times New Roman" w:hAnsi="Times New Roman"/>
          <w:b/>
          <w:color w:val="000000"/>
          <w:sz w:val="32"/>
          <w:szCs w:val="32"/>
        </w:rPr>
        <w:t xml:space="preserve">Contribution à l’étude et la caractérisation de la texture et microstructure d’alliages non </w:t>
      </w:r>
      <w:proofErr w:type="gramStart"/>
      <w:r w:rsidRPr="00B5784B">
        <w:rPr>
          <w:rFonts w:ascii="Times New Roman" w:hAnsi="Times New Roman"/>
          <w:b/>
          <w:color w:val="000000"/>
          <w:sz w:val="32"/>
          <w:szCs w:val="32"/>
        </w:rPr>
        <w:t>ferreux</w:t>
      </w:r>
      <w:r w:rsidRPr="00B5784B">
        <w:rPr>
          <w:rFonts w:ascii="Times New Roman" w:hAnsi="Times New Roman"/>
          <w:b/>
          <w:color w:val="1F497D"/>
          <w:sz w:val="32"/>
          <w:szCs w:val="32"/>
        </w:rPr>
        <w:t xml:space="preserve">  </w:t>
      </w:r>
      <w:r w:rsidRPr="00B5784B">
        <w:rPr>
          <w:rFonts w:ascii="Times New Roman" w:hAnsi="Times New Roman"/>
          <w:b/>
          <w:color w:val="000000"/>
          <w:sz w:val="32"/>
          <w:szCs w:val="32"/>
        </w:rPr>
        <w:t>hyper</w:t>
      </w:r>
      <w:proofErr w:type="gramEnd"/>
      <w:r w:rsidRPr="00B5784B">
        <w:rPr>
          <w:rFonts w:ascii="Times New Roman" w:hAnsi="Times New Roman"/>
          <w:b/>
          <w:color w:val="000000"/>
          <w:sz w:val="32"/>
          <w:szCs w:val="32"/>
        </w:rPr>
        <w:t xml:space="preserve"> déformés par ARB</w:t>
      </w:r>
    </w:p>
    <w:p w:rsidR="00B5784B" w:rsidRPr="00AC0CAF" w:rsidRDefault="00B5784B" w:rsidP="00B5784B">
      <w:pPr>
        <w:tabs>
          <w:tab w:val="left" w:pos="851"/>
          <w:tab w:val="left" w:pos="1474"/>
        </w:tabs>
        <w:jc w:val="both"/>
        <w:rPr>
          <w:rFonts w:ascii="Times New Roman" w:hAnsi="Times New Roman"/>
          <w:bCs/>
          <w:color w:val="000000"/>
        </w:rPr>
      </w:pPr>
      <w:r w:rsidRPr="00AC0CAF">
        <w:rPr>
          <w:rFonts w:ascii="Times New Roman" w:hAnsi="Times New Roman"/>
          <w:bCs/>
          <w:color w:val="000000"/>
        </w:rPr>
        <w:t xml:space="preserve">La fabrication </w:t>
      </w:r>
      <w:r>
        <w:rPr>
          <w:rFonts w:ascii="Times New Roman" w:hAnsi="Times New Roman"/>
          <w:bCs/>
          <w:color w:val="000000"/>
        </w:rPr>
        <w:t xml:space="preserve">à </w:t>
      </w:r>
      <w:r w:rsidRPr="00AC0CAF">
        <w:rPr>
          <w:rFonts w:ascii="Times New Roman" w:hAnsi="Times New Roman"/>
          <w:bCs/>
          <w:color w:val="000000"/>
        </w:rPr>
        <w:t>bas co</w:t>
      </w:r>
      <w:r>
        <w:rPr>
          <w:rFonts w:ascii="Times New Roman" w:hAnsi="Times New Roman"/>
          <w:bCs/>
          <w:color w:val="000000"/>
        </w:rPr>
        <w:t>û</w:t>
      </w:r>
      <w:r w:rsidRPr="00AC0CAF">
        <w:rPr>
          <w:rFonts w:ascii="Times New Roman" w:hAnsi="Times New Roman"/>
          <w:bCs/>
          <w:color w:val="000000"/>
        </w:rPr>
        <w:t>t de cellules photovoltaïques pour obtenir une énergie respectueuse de l’environnement, nécessite d’élaborer des substrats métalliques hyper texturés Cube {100</w:t>
      </w:r>
      <w:proofErr w:type="gramStart"/>
      <w:r w:rsidRPr="00AC0CAF">
        <w:rPr>
          <w:rFonts w:ascii="Times New Roman" w:hAnsi="Times New Roman"/>
          <w:bCs/>
          <w:color w:val="000000"/>
        </w:rPr>
        <w:t>}&lt;</w:t>
      </w:r>
      <w:proofErr w:type="gramEnd"/>
      <w:r w:rsidRPr="00AC0CAF">
        <w:rPr>
          <w:rFonts w:ascii="Times New Roman" w:hAnsi="Times New Roman"/>
          <w:bCs/>
          <w:color w:val="000000"/>
        </w:rPr>
        <w:t xml:space="preserve">001&gt; afin de pouvoir y déposer par épitaxie des couches minces de silicium. La problématique est la même pour la production de câbles supraconducteurs, qui nécessite le dépôt en épitaxie de l’oxyde </w:t>
      </w:r>
      <w:proofErr w:type="spellStart"/>
      <w:r w:rsidRPr="00AC0CAF">
        <w:rPr>
          <w:rFonts w:ascii="Times New Roman" w:hAnsi="Times New Roman"/>
          <w:bCs/>
          <w:color w:val="000000"/>
        </w:rPr>
        <w:t>BaCuO</w:t>
      </w:r>
      <w:proofErr w:type="spellEnd"/>
      <w:r w:rsidRPr="00AC0CAF">
        <w:rPr>
          <w:rFonts w:ascii="Times New Roman" w:hAnsi="Times New Roman"/>
          <w:bCs/>
          <w:color w:val="000000"/>
        </w:rPr>
        <w:t xml:space="preserve"> sur un substrat hyper texturé Cube.</w:t>
      </w:r>
      <w:r w:rsidRPr="006C28A9">
        <w:rPr>
          <w:rFonts w:ascii="Times New Roman" w:hAnsi="Times New Roman"/>
        </w:rPr>
        <w:t xml:space="preserve"> </w:t>
      </w:r>
      <w:r w:rsidRPr="00AC0CAF">
        <w:rPr>
          <w:rFonts w:ascii="Times New Roman" w:hAnsi="Times New Roman"/>
          <w:bCs/>
          <w:color w:val="000000"/>
        </w:rPr>
        <w:t xml:space="preserve">L’objectif </w:t>
      </w:r>
      <w:r>
        <w:rPr>
          <w:rFonts w:ascii="Times New Roman" w:hAnsi="Times New Roman"/>
          <w:bCs/>
          <w:color w:val="000000"/>
        </w:rPr>
        <w:t>de cette recherche consiste</w:t>
      </w:r>
      <w:r w:rsidRPr="00AC0CAF">
        <w:rPr>
          <w:rFonts w:ascii="Times New Roman" w:hAnsi="Times New Roman"/>
          <w:bCs/>
          <w:color w:val="000000"/>
        </w:rPr>
        <w:t xml:space="preserve"> </w:t>
      </w:r>
      <w:r>
        <w:rPr>
          <w:rFonts w:ascii="Times New Roman" w:hAnsi="Times New Roman"/>
          <w:bCs/>
          <w:color w:val="000000"/>
        </w:rPr>
        <w:t>à contribuer au développement</w:t>
      </w:r>
      <w:r w:rsidRPr="00AC0CAF">
        <w:rPr>
          <w:rFonts w:ascii="Times New Roman" w:hAnsi="Times New Roman"/>
          <w:bCs/>
          <w:color w:val="000000"/>
        </w:rPr>
        <w:t xml:space="preserve"> </w:t>
      </w:r>
      <w:r>
        <w:rPr>
          <w:rFonts w:ascii="Times New Roman" w:hAnsi="Times New Roman"/>
          <w:bCs/>
          <w:color w:val="000000"/>
        </w:rPr>
        <w:t>des</w:t>
      </w:r>
      <w:r w:rsidRPr="00AC0CAF">
        <w:rPr>
          <w:rFonts w:ascii="Times New Roman" w:hAnsi="Times New Roman"/>
          <w:bCs/>
          <w:color w:val="000000"/>
        </w:rPr>
        <w:t xml:space="preserve"> substrat</w:t>
      </w:r>
      <w:r>
        <w:rPr>
          <w:rFonts w:ascii="Times New Roman" w:hAnsi="Times New Roman"/>
          <w:bCs/>
          <w:color w:val="000000"/>
        </w:rPr>
        <w:t>s</w:t>
      </w:r>
      <w:r w:rsidRPr="00AC0CAF">
        <w:rPr>
          <w:rFonts w:ascii="Times New Roman" w:hAnsi="Times New Roman"/>
          <w:bCs/>
          <w:color w:val="000000"/>
        </w:rPr>
        <w:t xml:space="preserve"> </w:t>
      </w:r>
      <w:r w:rsidRPr="004D44EB">
        <w:rPr>
          <w:rFonts w:ascii="Times New Roman" w:hAnsi="Times New Roman"/>
          <w:bCs/>
        </w:rPr>
        <w:t>d’alliage Fe-Ni ou Ni-W avec des</w:t>
      </w:r>
      <w:bookmarkStart w:id="0" w:name="_GoBack"/>
      <w:bookmarkEnd w:id="0"/>
      <w:r w:rsidRPr="004D44EB">
        <w:rPr>
          <w:rFonts w:ascii="Times New Roman" w:hAnsi="Times New Roman"/>
          <w:bCs/>
        </w:rPr>
        <w:t xml:space="preserve"> grains possédant tous l’orientation Cube, avec une très faible dispersion autour de l’orientation idéale. Pour produire cette texture accusée, il faut déformer fortement la tôle avant de lui faire subir un traitement thermique de recristallisation. Nous avons opté pour la technique de déformation plastique sévère nommée ARB (pour Accumulative Roll </w:t>
      </w:r>
      <w:proofErr w:type="spellStart"/>
      <w:r w:rsidRPr="004D44EB">
        <w:rPr>
          <w:rFonts w:ascii="Times New Roman" w:hAnsi="Times New Roman"/>
          <w:bCs/>
        </w:rPr>
        <w:t>Bonding</w:t>
      </w:r>
      <w:proofErr w:type="spellEnd"/>
      <w:r w:rsidRPr="004D44EB">
        <w:rPr>
          <w:rFonts w:ascii="Times New Roman" w:hAnsi="Times New Roman"/>
          <w:bCs/>
        </w:rPr>
        <w:t>) ainsi qu’un protocole de recuit thermique industriel.</w:t>
      </w:r>
    </w:p>
    <w:p w:rsidR="00B5784B" w:rsidRPr="006C28A9" w:rsidRDefault="00B5784B" w:rsidP="00B5784B">
      <w:pPr>
        <w:jc w:val="both"/>
        <w:rPr>
          <w:rFonts w:ascii="Times New Roman" w:hAnsi="Times New Roman"/>
        </w:rPr>
      </w:pPr>
      <w:r w:rsidRPr="006C28A9">
        <w:rPr>
          <w:rFonts w:ascii="Times New Roman" w:hAnsi="Times New Roman"/>
        </w:rPr>
        <w:tab/>
        <w:t>Nous nous sommes</w:t>
      </w:r>
      <w:r>
        <w:rPr>
          <w:rFonts w:ascii="Times New Roman" w:hAnsi="Times New Roman"/>
        </w:rPr>
        <w:t>,</w:t>
      </w:r>
      <w:r w:rsidRPr="006C28A9">
        <w:rPr>
          <w:rFonts w:ascii="Times New Roman" w:hAnsi="Times New Roman"/>
        </w:rPr>
        <w:t xml:space="preserve"> dans un premier temps</w:t>
      </w:r>
      <w:r>
        <w:rPr>
          <w:rFonts w:ascii="Times New Roman" w:hAnsi="Times New Roman"/>
        </w:rPr>
        <w:t>,</w:t>
      </w:r>
      <w:r w:rsidRPr="006C28A9">
        <w:rPr>
          <w:rFonts w:ascii="Times New Roman" w:hAnsi="Times New Roman"/>
        </w:rPr>
        <w:t xml:space="preserve"> intéressé à l’alliage Fe-48Ni et nous avons tenté d’optimiser les conditions d’hyper déformation afin d’obtenir un maximum de cycles ARB avec une bonne qualité d’adhérence. </w:t>
      </w:r>
      <w:r w:rsidRPr="004D44EB">
        <w:rPr>
          <w:rStyle w:val="page-rangeCar"/>
          <w:rFonts w:eastAsia="Calibri"/>
        </w:rPr>
        <w:t xml:space="preserve">La microstructure et la texture de l’état </w:t>
      </w:r>
      <w:proofErr w:type="spellStart"/>
      <w:r w:rsidRPr="004D44EB">
        <w:rPr>
          <w:rStyle w:val="page-rangeCar"/>
          <w:rFonts w:eastAsia="Calibri"/>
        </w:rPr>
        <w:t>hyperdéformé</w:t>
      </w:r>
      <w:proofErr w:type="spellEnd"/>
      <w:r w:rsidRPr="004D44EB">
        <w:rPr>
          <w:rStyle w:val="page-rangeCar"/>
          <w:rFonts w:eastAsia="Calibri"/>
        </w:rPr>
        <w:t xml:space="preserve"> de l’alliage Fe-48Ni a ensuite été comparée à celle obtenue lors d’un précédent travail réalisé au sein de notre équipe (K. </w:t>
      </w:r>
      <w:proofErr w:type="spellStart"/>
      <w:r w:rsidRPr="004D44EB">
        <w:rPr>
          <w:rStyle w:val="page-rangeCar"/>
          <w:rFonts w:eastAsia="Calibri"/>
        </w:rPr>
        <w:t>Tirsatine</w:t>
      </w:r>
      <w:proofErr w:type="spellEnd"/>
      <w:r w:rsidRPr="004D44EB">
        <w:rPr>
          <w:rStyle w:val="page-rangeCar"/>
          <w:rFonts w:eastAsia="Calibri"/>
        </w:rPr>
        <w:t>) sur l’alliage Fe-36Ni</w:t>
      </w:r>
      <w:r w:rsidRPr="006C28A9">
        <w:rPr>
          <w:rStyle w:val="page-rangeCar"/>
          <w:rFonts w:eastAsia="Calibri"/>
        </w:rPr>
        <w:t xml:space="preserve"> ayant subi la même </w:t>
      </w:r>
      <w:proofErr w:type="spellStart"/>
      <w:r w:rsidRPr="006C28A9">
        <w:rPr>
          <w:rStyle w:val="page-rangeCar"/>
          <w:rFonts w:eastAsia="Calibri"/>
        </w:rPr>
        <w:t>hyperdéformation</w:t>
      </w:r>
      <w:proofErr w:type="spellEnd"/>
      <w:r w:rsidRPr="006C28A9">
        <w:rPr>
          <w:rStyle w:val="page-rangeCar"/>
          <w:rFonts w:eastAsia="Calibri"/>
        </w:rPr>
        <w:t xml:space="preserve"> mais dans des conditions de températures différentes. </w:t>
      </w:r>
      <w:r w:rsidRPr="006C28A9">
        <w:rPr>
          <w:rFonts w:ascii="Times New Roman" w:hAnsi="Times New Roman"/>
        </w:rPr>
        <w:t>Les deux alliages ont développé une texture de type Cuivre après 6 cycles. La microdureté des deux alliages a subi la même évolution au cours des 6 cycles. Celle de l'alliage Fe-48Ni était plus élevé que celle du Fe-36Ni en raison de sa plus petite énergie de faute d'empilement.</w:t>
      </w:r>
    </w:p>
    <w:p w:rsidR="00B5784B" w:rsidRPr="006C28A9" w:rsidRDefault="00B5784B" w:rsidP="00B5784B">
      <w:pPr>
        <w:spacing w:after="0"/>
        <w:jc w:val="both"/>
        <w:rPr>
          <w:rStyle w:val="page-rangeCar"/>
          <w:rFonts w:eastAsia="Calibri"/>
        </w:rPr>
      </w:pPr>
      <w:r w:rsidRPr="00AC0CAF">
        <w:rPr>
          <w:rFonts w:ascii="Times New Roman" w:hAnsi="Times New Roman"/>
        </w:rPr>
        <w:tab/>
      </w:r>
      <w:r w:rsidRPr="006C28A9">
        <w:rPr>
          <w:rStyle w:val="page-rangeCar"/>
          <w:rFonts w:eastAsia="Calibri"/>
        </w:rPr>
        <w:t xml:space="preserve">L'alliage Fe-48Ni </w:t>
      </w:r>
      <w:proofErr w:type="spellStart"/>
      <w:r w:rsidRPr="006C28A9">
        <w:rPr>
          <w:rStyle w:val="page-rangeCar"/>
          <w:rFonts w:eastAsia="Calibri"/>
        </w:rPr>
        <w:t>hyperdéformé</w:t>
      </w:r>
      <w:proofErr w:type="spellEnd"/>
      <w:r w:rsidRPr="006C28A9">
        <w:rPr>
          <w:rStyle w:val="page-rangeCar"/>
          <w:rFonts w:eastAsia="Calibri"/>
        </w:rPr>
        <w:t xml:space="preserve"> par ARB (6 cycles) a ensuite subi un recuit à 1000 °C selon un protocole industriel. Les mesures EBSD nous ont permis d’observer l’évolution de la texture et de la microstructure. </w:t>
      </w:r>
      <w:r w:rsidRPr="006C28A9">
        <w:rPr>
          <w:rStyle w:val="page-rangeCar"/>
          <w:rFonts w:eastAsia="Calibri"/>
        </w:rPr>
        <w:tab/>
        <w:t>Les grains initiaux (allongés) obtenus après l’</w:t>
      </w:r>
      <w:proofErr w:type="spellStart"/>
      <w:r w:rsidRPr="006C28A9">
        <w:rPr>
          <w:rStyle w:val="page-rangeCar"/>
          <w:rFonts w:eastAsia="Calibri"/>
        </w:rPr>
        <w:t>hyperdéformation</w:t>
      </w:r>
      <w:proofErr w:type="spellEnd"/>
      <w:r w:rsidRPr="006C28A9">
        <w:rPr>
          <w:rStyle w:val="page-rangeCar"/>
          <w:rFonts w:eastAsia="Calibri"/>
        </w:rPr>
        <w:t xml:space="preserve"> ARB puis recristallisés ont subi une croissance normale importante. De petits grains recristallisés se sont regroupés au voisinage des interfaces et ont été alignés le long de la direction de laminage. La texture </w:t>
      </w:r>
      <w:r w:rsidRPr="004D44EB">
        <w:rPr>
          <w:rStyle w:val="page-rangeCar"/>
          <w:rFonts w:eastAsia="Calibri"/>
        </w:rPr>
        <w:t>obtenue lors</w:t>
      </w:r>
      <w:r>
        <w:rPr>
          <w:rStyle w:val="page-rangeCar"/>
          <w:rFonts w:eastAsia="Calibri"/>
        </w:rPr>
        <w:t xml:space="preserve"> </w:t>
      </w:r>
      <w:r w:rsidRPr="006C28A9">
        <w:rPr>
          <w:rStyle w:val="page-rangeCar"/>
          <w:rFonts w:eastAsia="Calibri"/>
        </w:rPr>
        <w:t>de la croissance des grains après traitement ARB et recuit a été caractérisée par la prédominance de la composante Cube.</w:t>
      </w:r>
    </w:p>
    <w:p w:rsidR="00B5784B" w:rsidRPr="00AC0CAF" w:rsidRDefault="00B5784B" w:rsidP="00B5784B">
      <w:pPr>
        <w:spacing w:after="0"/>
        <w:jc w:val="both"/>
        <w:rPr>
          <w:rFonts w:ascii="Times New Roman" w:hAnsi="Times New Roman"/>
        </w:rPr>
      </w:pPr>
    </w:p>
    <w:p w:rsidR="00B5784B" w:rsidRPr="006C28A9" w:rsidRDefault="00B5784B" w:rsidP="00B5784B">
      <w:pPr>
        <w:jc w:val="both"/>
        <w:rPr>
          <w:rStyle w:val="page-rangeCar"/>
          <w:rFonts w:eastAsia="Calibri"/>
          <w:sz w:val="16"/>
          <w:szCs w:val="16"/>
        </w:rPr>
      </w:pPr>
      <w:r w:rsidRPr="006C28A9">
        <w:rPr>
          <w:rFonts w:ascii="Times New Roman" w:hAnsi="Times New Roman"/>
        </w:rPr>
        <w:tab/>
        <w:t>En ce qui concerne l’alliage Ni-5</w:t>
      </w:r>
      <w:r>
        <w:rPr>
          <w:rFonts w:ascii="Times New Roman" w:hAnsi="Times New Roman"/>
        </w:rPr>
        <w:t>%</w:t>
      </w:r>
      <w:r w:rsidRPr="006C28A9">
        <w:rPr>
          <w:rFonts w:ascii="Times New Roman" w:hAnsi="Times New Roman"/>
        </w:rPr>
        <w:t>W</w:t>
      </w:r>
      <w:r>
        <w:rPr>
          <w:rFonts w:ascii="Times New Roman" w:hAnsi="Times New Roman"/>
        </w:rPr>
        <w:t xml:space="preserve"> (% en poids)</w:t>
      </w:r>
      <w:r w:rsidRPr="006C28A9">
        <w:rPr>
          <w:rFonts w:ascii="Times New Roman" w:hAnsi="Times New Roman"/>
        </w:rPr>
        <w:t xml:space="preserve">, il a été </w:t>
      </w:r>
      <w:r w:rsidRPr="006C28A9">
        <w:rPr>
          <w:rStyle w:val="page-rangeCar"/>
          <w:rFonts w:eastAsia="Calibri"/>
        </w:rPr>
        <w:t xml:space="preserve">soumis à une </w:t>
      </w:r>
      <w:proofErr w:type="spellStart"/>
      <w:r w:rsidRPr="006C28A9">
        <w:rPr>
          <w:rStyle w:val="page-rangeCar"/>
          <w:rFonts w:eastAsia="Calibri"/>
        </w:rPr>
        <w:t>hyperdéformation</w:t>
      </w:r>
      <w:proofErr w:type="spellEnd"/>
      <w:r w:rsidRPr="006C28A9">
        <w:rPr>
          <w:rStyle w:val="page-rangeCar"/>
          <w:rFonts w:eastAsia="Calibri"/>
        </w:rPr>
        <w:t xml:space="preserve"> ARB à 450 ° C jusqu'à quatre cycles. L</w:t>
      </w:r>
      <w:r w:rsidRPr="006C28A9">
        <w:rPr>
          <w:rFonts w:ascii="Times New Roman" w:hAnsi="Times New Roman"/>
        </w:rPr>
        <w:t xml:space="preserve">es grains initiaux ont subi </w:t>
      </w:r>
      <w:r>
        <w:rPr>
          <w:rFonts w:ascii="Times New Roman" w:hAnsi="Times New Roman"/>
        </w:rPr>
        <w:t>un affinement important</w:t>
      </w:r>
      <w:r w:rsidRPr="006C28A9">
        <w:rPr>
          <w:rFonts w:ascii="Times New Roman" w:hAnsi="Times New Roman"/>
        </w:rPr>
        <w:t xml:space="preserve"> et un allongement parallèle à la direction de laminage. La texture a été caractérisée par les composantes de laminage typiques (C</w:t>
      </w:r>
      <w:r>
        <w:rPr>
          <w:rFonts w:ascii="Times New Roman" w:hAnsi="Times New Roman"/>
        </w:rPr>
        <w:t>uivre, S et L</w:t>
      </w:r>
      <w:r w:rsidRPr="006C28A9">
        <w:rPr>
          <w:rFonts w:ascii="Times New Roman" w:hAnsi="Times New Roman"/>
        </w:rPr>
        <w:t xml:space="preserve">aiton). La microdureté a </w:t>
      </w:r>
      <w:r>
        <w:rPr>
          <w:rFonts w:ascii="Times New Roman" w:hAnsi="Times New Roman"/>
        </w:rPr>
        <w:t>augmenté substantiellement puis</w:t>
      </w:r>
      <w:r w:rsidRPr="006C28A9">
        <w:rPr>
          <w:rFonts w:ascii="Times New Roman" w:hAnsi="Times New Roman"/>
        </w:rPr>
        <w:t xml:space="preserve"> se sature</w:t>
      </w:r>
      <w:r>
        <w:rPr>
          <w:rFonts w:ascii="Times New Roman" w:hAnsi="Times New Roman"/>
        </w:rPr>
        <w:t xml:space="preserve"> </w:t>
      </w:r>
      <w:r w:rsidRPr="006C28A9">
        <w:rPr>
          <w:rFonts w:ascii="Times New Roman" w:hAnsi="Times New Roman"/>
        </w:rPr>
        <w:t xml:space="preserve">après trois cycles ARB. </w:t>
      </w:r>
      <w:r w:rsidRPr="006C28A9">
        <w:rPr>
          <w:rStyle w:val="page-rangeCar"/>
          <w:rFonts w:eastAsia="Calibri"/>
        </w:rPr>
        <w:t>Les essais de traction ont montré que les échantillons Ni-14</w:t>
      </w:r>
      <w:r>
        <w:rPr>
          <w:rStyle w:val="page-rangeCar"/>
          <w:rFonts w:eastAsia="Calibri"/>
        </w:rPr>
        <w:t>%</w:t>
      </w:r>
      <w:r w:rsidRPr="006C28A9">
        <w:rPr>
          <w:rStyle w:val="page-rangeCar"/>
          <w:rFonts w:eastAsia="Calibri"/>
        </w:rPr>
        <w:t xml:space="preserve">W (% en poids) ARB présentaient une résistance élevée et une ductilité extrêmement </w:t>
      </w:r>
      <w:r>
        <w:rPr>
          <w:rStyle w:val="page-rangeCar"/>
          <w:rFonts w:eastAsia="Calibri"/>
        </w:rPr>
        <w:t>m</w:t>
      </w:r>
      <w:r w:rsidRPr="006C28A9">
        <w:rPr>
          <w:rStyle w:val="page-rangeCar"/>
          <w:rFonts w:eastAsia="Calibri"/>
        </w:rPr>
        <w:t>édiocre.</w:t>
      </w:r>
      <w:r w:rsidRPr="006C28A9">
        <w:rPr>
          <w:rStyle w:val="page-rangeCar"/>
          <w:rFonts w:eastAsia="Calibri"/>
          <w:sz w:val="16"/>
          <w:szCs w:val="16"/>
        </w:rPr>
        <w:t xml:space="preserve"> </w:t>
      </w:r>
      <w:r w:rsidRPr="006C28A9">
        <w:rPr>
          <w:rFonts w:ascii="Times New Roman" w:hAnsi="Times New Roman"/>
        </w:rPr>
        <w:t xml:space="preserve">Après </w:t>
      </w:r>
      <w:r w:rsidRPr="004D44EB">
        <w:rPr>
          <w:rFonts w:ascii="Times New Roman" w:hAnsi="Times New Roman"/>
        </w:rPr>
        <w:t>l’obtention d’une texture</w:t>
      </w:r>
      <w:r w:rsidRPr="006C28A9">
        <w:rPr>
          <w:rFonts w:ascii="Times New Roman" w:hAnsi="Times New Roman"/>
        </w:rPr>
        <w:t xml:space="preserve"> de déformation prometteuse, l’optimisation du traitement de recristallisation est une activité de recherche en cours.</w:t>
      </w:r>
      <w:r w:rsidRPr="006C28A9">
        <w:rPr>
          <w:rStyle w:val="page-rangeCar"/>
          <w:rFonts w:eastAsia="Calibri"/>
          <w:sz w:val="16"/>
          <w:szCs w:val="16"/>
        </w:rPr>
        <w:t xml:space="preserve">  </w:t>
      </w:r>
    </w:p>
    <w:p w:rsidR="00BC3AA8" w:rsidRDefault="00BC3AA8"/>
    <w:sectPr w:rsidR="00BC3AA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84B"/>
    <w:rsid w:val="00A00BB9"/>
    <w:rsid w:val="00B5784B"/>
    <w:rsid w:val="00BC3AA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BCD5D2-04FB-4E57-966A-BE672DEF4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784B"/>
    <w:pPr>
      <w:spacing w:after="200" w:line="276" w:lineRule="auto"/>
    </w:pPr>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age-rangeCar">
    <w:name w:val="page-range Car"/>
    <w:link w:val="page-range"/>
    <w:locked/>
    <w:rsid w:val="00B5784B"/>
    <w:rPr>
      <w:rFonts w:ascii="Times New Roman" w:eastAsia="Times New Roman" w:hAnsi="Times New Roman"/>
      <w:sz w:val="24"/>
      <w:szCs w:val="24"/>
    </w:rPr>
  </w:style>
  <w:style w:type="paragraph" w:customStyle="1" w:styleId="page-range">
    <w:name w:val="page-range"/>
    <w:basedOn w:val="Normal"/>
    <w:link w:val="page-rangeCar"/>
    <w:rsid w:val="00B5784B"/>
    <w:pPr>
      <w:spacing w:before="100" w:beforeAutospacing="1" w:after="100" w:afterAutospacing="1" w:line="240" w:lineRule="auto"/>
    </w:pPr>
    <w:rPr>
      <w:rFonts w:ascii="Times New Roman" w:eastAsia="Times New Roman" w:hAnsi="Times New Roman"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495</Words>
  <Characters>2725</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1</cp:revision>
  <dcterms:created xsi:type="dcterms:W3CDTF">2019-02-11T09:29:00Z</dcterms:created>
  <dcterms:modified xsi:type="dcterms:W3CDTF">2019-02-11T09:38:00Z</dcterms:modified>
</cp:coreProperties>
</file>