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5C86" w:rsidRDefault="00C15C86" w:rsidP="00C15C86">
      <w:r>
        <w:t xml:space="preserve">Dans cette thèse deux questions ont était posés, les relations et les méthodes non destructives  appliqués aux matériaux microstructuraux restent ils valables à l'échelle nanostructure. La thèse traite du point de vue expérimental l'élaboration et la détermination les différents  paramètres rigoureux de la </w:t>
      </w:r>
      <w:proofErr w:type="spellStart"/>
      <w:r>
        <w:t>mécanosynthèse</w:t>
      </w:r>
      <w:proofErr w:type="spellEnd"/>
      <w:r>
        <w:t>. Ainsi, la période, l'intensité, vitesse de broyage et les différents précautions prises pour éviter la contamination, en particules le rapport masse bille sur masse poudre, taille des billes. Des investigations microstructurales ont systématiquement révélé les différents mécanismes de formation des phases lors du broyage par MEB et DRX. L'intérêt porté au système Fe65Co35 est lié au fait que ce dernier possède un moment magnétique moyen, une température de curie et un champ magnétique hyperfin maximums ; l'amélioration des propriétés électriques et la protection contre la corrosion du composé Fe-Co a nécessité l'ajout d'Aluminium.</w:t>
      </w:r>
    </w:p>
    <w:p w:rsidR="00C15C86" w:rsidRDefault="00C15C86" w:rsidP="00C15C86">
      <w:r>
        <w:t xml:space="preserve">Nous avons ensuite étudié la caractérisation et l'évaluation non destructive par différents procédés magnétiques et l'influence des effets de la </w:t>
      </w:r>
      <w:proofErr w:type="spellStart"/>
      <w:r>
        <w:t>mécanosynthèse</w:t>
      </w:r>
      <w:proofErr w:type="spellEnd"/>
      <w:r>
        <w:t xml:space="preserve"> sur les propriétés magnétiques des alliages </w:t>
      </w:r>
      <w:proofErr w:type="spellStart"/>
      <w:r>
        <w:t>nanostructurés</w:t>
      </w:r>
      <w:proofErr w:type="spellEnd"/>
      <w:r>
        <w:t xml:space="preserve"> à base de fer. </w:t>
      </w:r>
    </w:p>
    <w:p w:rsidR="00C15C86" w:rsidRDefault="00C15C86" w:rsidP="00C15C86">
      <w:r>
        <w:t>Nous avons également exploré la technique de caractérisation par les courants de Foucault qui a permis la connaissance de l'instant de formation des alliages pendant l'opération de broyage.</w:t>
      </w:r>
    </w:p>
    <w:p w:rsidR="00C15C86" w:rsidRDefault="00C15C86" w:rsidP="00C15C86">
      <w:r>
        <w:t xml:space="preserve">Les matériaux </w:t>
      </w:r>
      <w:proofErr w:type="spellStart"/>
      <w:r>
        <w:t>nanostructurés</w:t>
      </w:r>
      <w:proofErr w:type="spellEnd"/>
      <w:r>
        <w:t xml:space="preserve"> obtenus sont caractérisés par un comportement spécifique différent selon la technique de caractérisation utilisée, d'où la nécessité de cerner correctement le domaine et de préciser les conditions d'application.</w:t>
      </w:r>
    </w:p>
    <w:p w:rsidR="00D27F3D" w:rsidRDefault="00C15C86" w:rsidP="00C15C86">
      <w:r>
        <w:t xml:space="preserve">Une caractéristique importante des matériaux </w:t>
      </w:r>
      <w:proofErr w:type="spellStart"/>
      <w:r>
        <w:t>nanostructurés</w:t>
      </w:r>
      <w:proofErr w:type="spellEnd"/>
      <w:r>
        <w:t xml:space="preserve"> a été observée lors de l'utilisation des différentes techniques de caractérisation, c'est la variabilité des réponses obtenues selon le pourcentage des éléments d'alliage et la technique appliquée d'où la nécessité de cerner correctement le domaine et de préciser les conditions d'application de chaque matériau </w:t>
      </w:r>
      <w:proofErr w:type="spellStart"/>
      <w:r>
        <w:t>nanostructuré</w:t>
      </w:r>
      <w:proofErr w:type="spellEnd"/>
      <w:r>
        <w:t xml:space="preserve">. Ainsi les lois ou les relations appliqués aux matériaux microstructurales ne sont pas toujours valable pour les matériaux </w:t>
      </w:r>
      <w:proofErr w:type="spellStart"/>
      <w:r>
        <w:t>nanostructuraux</w:t>
      </w:r>
      <w:proofErr w:type="spellEnd"/>
      <w:r>
        <w:t xml:space="preserve"> d'où chaque alliage élaboré nécessite sa propre caractérisation.</w:t>
      </w:r>
    </w:p>
    <w:sectPr w:rsidR="00D27F3D" w:rsidSect="00D27F3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15C86"/>
    <w:rsid w:val="00C15C86"/>
    <w:rsid w:val="00D27F3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7F3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341</Words>
  <Characters>1878</Characters>
  <Application>Microsoft Office Word</Application>
  <DocSecurity>0</DocSecurity>
  <Lines>15</Lines>
  <Paragraphs>4</Paragraphs>
  <ScaleCrop>false</ScaleCrop>
  <Company/>
  <LinksUpToDate>false</LinksUpToDate>
  <CharactersWithSpaces>2215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cp:revision>
  <dcterms:created xsi:type="dcterms:W3CDTF">2014-11-30T13:12:00Z</dcterms:created>
  <dcterms:modified xsi:type="dcterms:W3CDTF">2014-11-30T13:13:00Z</dcterms:modified>
</cp:coreProperties>
</file>