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4D87" w:rsidRDefault="00434D87" w:rsidP="003A786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50"/>
          <w:szCs w:val="50"/>
        </w:rPr>
      </w:pPr>
    </w:p>
    <w:p w:rsidR="00434D87" w:rsidRDefault="00434D87" w:rsidP="003A786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50"/>
          <w:szCs w:val="50"/>
        </w:rPr>
      </w:pPr>
    </w:p>
    <w:p w:rsidR="00434D87" w:rsidRDefault="00434D87" w:rsidP="003A786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50"/>
          <w:szCs w:val="50"/>
        </w:rPr>
      </w:pPr>
    </w:p>
    <w:p w:rsidR="00434D87" w:rsidRDefault="00434D87" w:rsidP="003A786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50"/>
          <w:szCs w:val="50"/>
        </w:rPr>
      </w:pPr>
    </w:p>
    <w:p w:rsidR="00434D87" w:rsidRDefault="00434D87" w:rsidP="003A786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50"/>
          <w:szCs w:val="50"/>
        </w:rPr>
      </w:pPr>
    </w:p>
    <w:p w:rsidR="003A7864" w:rsidRPr="003A7864" w:rsidRDefault="003A7864" w:rsidP="003A786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50"/>
          <w:szCs w:val="50"/>
        </w:rPr>
      </w:pPr>
      <w:bookmarkStart w:id="0" w:name="_GoBack"/>
      <w:bookmarkEnd w:id="0"/>
      <w:r w:rsidRPr="003A7864">
        <w:rPr>
          <w:rFonts w:asciiTheme="majorBidi" w:hAnsiTheme="majorBidi" w:cstheme="majorBidi"/>
          <w:b/>
          <w:bCs/>
          <w:sz w:val="50"/>
          <w:szCs w:val="50"/>
        </w:rPr>
        <w:t>Résumé</w:t>
      </w:r>
    </w:p>
    <w:p w:rsidR="003A7864" w:rsidRPr="003A7864" w:rsidRDefault="003A7864" w:rsidP="003A786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FE34C9" w:rsidRDefault="003A7864" w:rsidP="001475CA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A53324">
        <w:rPr>
          <w:rFonts w:asciiTheme="majorBidi" w:hAnsiTheme="majorBidi" w:cstheme="majorBidi"/>
          <w:sz w:val="24"/>
          <w:szCs w:val="24"/>
        </w:rPr>
        <w:t>L’imagerie par résonance magnétique pondérée en diffusion (</w:t>
      </w:r>
      <w:proofErr w:type="spellStart"/>
      <w:r w:rsidRPr="00A53324">
        <w:rPr>
          <w:rFonts w:asciiTheme="majorBidi" w:hAnsiTheme="majorBidi" w:cstheme="majorBidi"/>
          <w:sz w:val="24"/>
          <w:szCs w:val="24"/>
        </w:rPr>
        <w:t>IRMd</w:t>
      </w:r>
      <w:proofErr w:type="spellEnd"/>
      <w:r w:rsidRPr="00A53324">
        <w:rPr>
          <w:rFonts w:asciiTheme="majorBidi" w:hAnsiTheme="majorBidi" w:cstheme="majorBidi"/>
          <w:sz w:val="24"/>
          <w:szCs w:val="24"/>
        </w:rPr>
        <w:t>), développée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r w:rsidRPr="00A53324">
        <w:rPr>
          <w:rFonts w:asciiTheme="majorBidi" w:hAnsiTheme="majorBidi" w:cstheme="majorBidi"/>
          <w:sz w:val="24"/>
          <w:szCs w:val="24"/>
        </w:rPr>
        <w:t>au milieu des années 1980, est une technique d’IRM émergente, utilisée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r w:rsidRPr="00A53324">
        <w:rPr>
          <w:rFonts w:asciiTheme="majorBidi" w:hAnsiTheme="majorBidi" w:cstheme="majorBidi"/>
          <w:sz w:val="24"/>
          <w:szCs w:val="24"/>
        </w:rPr>
        <w:t>in-vivo de manière non invasive, tant pour la recherche que pour des applications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r w:rsidRPr="00A53324">
        <w:rPr>
          <w:rFonts w:asciiTheme="majorBidi" w:hAnsiTheme="majorBidi" w:cstheme="majorBidi"/>
          <w:sz w:val="24"/>
          <w:szCs w:val="24"/>
        </w:rPr>
        <w:t>cliniques, afin de cartographier la connectivité du cerveau humain,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r w:rsidRPr="00A53324">
        <w:rPr>
          <w:rFonts w:asciiTheme="majorBidi" w:hAnsiTheme="majorBidi" w:cstheme="majorBidi"/>
          <w:sz w:val="24"/>
          <w:szCs w:val="24"/>
        </w:rPr>
        <w:t>de comprendre et diagnostiquer des maladies du cerveau comme les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r w:rsidRPr="00A53324">
        <w:rPr>
          <w:rFonts w:asciiTheme="majorBidi" w:hAnsiTheme="majorBidi" w:cstheme="majorBidi"/>
          <w:sz w:val="24"/>
          <w:szCs w:val="24"/>
        </w:rPr>
        <w:t>troubles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53324">
        <w:rPr>
          <w:rFonts w:asciiTheme="majorBidi" w:hAnsiTheme="majorBidi" w:cstheme="majorBidi"/>
          <w:sz w:val="24"/>
          <w:szCs w:val="24"/>
        </w:rPr>
        <w:t>neurodégénératifs</w:t>
      </w:r>
      <w:proofErr w:type="spellEnd"/>
      <w:r w:rsidRPr="00A53324">
        <w:rPr>
          <w:rFonts w:asciiTheme="majorBidi" w:hAnsiTheme="majorBidi" w:cstheme="majorBidi"/>
          <w:sz w:val="24"/>
          <w:szCs w:val="24"/>
        </w:rPr>
        <w:t xml:space="preserve"> (la sclérose en plaques, la maladie d’Alzheimer ou la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r w:rsidRPr="00A53324">
        <w:rPr>
          <w:rFonts w:asciiTheme="majorBidi" w:hAnsiTheme="majorBidi" w:cstheme="majorBidi"/>
          <w:sz w:val="24"/>
          <w:szCs w:val="24"/>
        </w:rPr>
        <w:t>maladie de Parkinson) et les tumeurs. Compte tenu de l’intérêt croissant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r w:rsidRPr="00A53324">
        <w:rPr>
          <w:rFonts w:asciiTheme="majorBidi" w:hAnsiTheme="majorBidi" w:cstheme="majorBidi"/>
          <w:sz w:val="24"/>
          <w:szCs w:val="24"/>
        </w:rPr>
        <w:t>pour cette modalité, il est devenu crucial d’étudier l’impact des paramètres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r w:rsidRPr="00A53324">
        <w:rPr>
          <w:rFonts w:asciiTheme="majorBidi" w:hAnsiTheme="majorBidi" w:cstheme="majorBidi"/>
          <w:sz w:val="24"/>
          <w:szCs w:val="24"/>
        </w:rPr>
        <w:t>d’acquisition de l’IRM pondérée en diffusion, sur la précision de l’estimation</w:t>
      </w:r>
      <w:r w:rsidR="00A53324">
        <w:rPr>
          <w:rFonts w:asciiTheme="majorBidi" w:hAnsiTheme="majorBidi" w:cstheme="majorBidi"/>
          <w:sz w:val="24"/>
          <w:szCs w:val="24"/>
        </w:rPr>
        <w:t xml:space="preserve"> </w:t>
      </w:r>
      <w:r w:rsidRPr="00A53324">
        <w:rPr>
          <w:rFonts w:asciiTheme="majorBidi" w:hAnsiTheme="majorBidi" w:cstheme="majorBidi"/>
          <w:sz w:val="24"/>
          <w:szCs w:val="24"/>
        </w:rPr>
        <w:t>de l’orientation des fibres et sur les métriques de diffusion</w:t>
      </w:r>
      <w:r w:rsidR="00A53324">
        <w:rPr>
          <w:rFonts w:asciiTheme="majorBidi" w:hAnsiTheme="majorBidi" w:cstheme="majorBidi"/>
          <w:sz w:val="24"/>
          <w:szCs w:val="24"/>
        </w:rPr>
        <w:t>.</w:t>
      </w:r>
    </w:p>
    <w:p w:rsidR="00AF69D8" w:rsidRDefault="00AF69D8" w:rsidP="00A5332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sectPr w:rsidR="00AF69D8" w:rsidSect="00492112"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92112"/>
    <w:rsid w:val="00143FBF"/>
    <w:rsid w:val="001475CA"/>
    <w:rsid w:val="003A7864"/>
    <w:rsid w:val="00434D87"/>
    <w:rsid w:val="00492112"/>
    <w:rsid w:val="00A53324"/>
    <w:rsid w:val="00AF69D8"/>
    <w:rsid w:val="00FE3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01EEFE-1DD2-42ED-BA56-32BF64B45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</Words>
  <Characters>635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 Me</dc:creator>
  <cp:lastModifiedBy>naima</cp:lastModifiedBy>
  <cp:revision>7</cp:revision>
  <dcterms:created xsi:type="dcterms:W3CDTF">2017-11-19T17:29:00Z</dcterms:created>
  <dcterms:modified xsi:type="dcterms:W3CDTF">2018-02-25T13:05:00Z</dcterms:modified>
</cp:coreProperties>
</file>