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2537" w:rsidRPr="006C25E1" w:rsidRDefault="00132537" w:rsidP="00132537">
      <w:pPr>
        <w:tabs>
          <w:tab w:val="center" w:pos="4536"/>
          <w:tab w:val="left" w:pos="5532"/>
        </w:tabs>
        <w:jc w:val="both"/>
        <w:outlineLvl w:val="0"/>
        <w:rPr>
          <w:rFonts w:asciiTheme="majorBidi" w:hAnsiTheme="majorBidi" w:cstheme="majorBidi"/>
          <w:b/>
          <w:bCs/>
          <w:sz w:val="28"/>
          <w:szCs w:val="28"/>
        </w:rPr>
      </w:pPr>
      <w:r w:rsidRPr="006C25E1">
        <w:rPr>
          <w:rFonts w:asciiTheme="majorBidi" w:hAnsiTheme="majorBidi" w:cstheme="majorBidi"/>
          <w:b/>
          <w:bCs/>
          <w:sz w:val="28"/>
          <w:szCs w:val="28"/>
        </w:rPr>
        <w:t>Résumé</w:t>
      </w:r>
    </w:p>
    <w:p w:rsidR="00132537" w:rsidRPr="00562159" w:rsidRDefault="00132537" w:rsidP="00CD67C0">
      <w:pPr>
        <w:tabs>
          <w:tab w:val="left" w:pos="851"/>
        </w:tabs>
        <w:autoSpaceDE w:val="0"/>
        <w:autoSpaceDN w:val="0"/>
        <w:adjustRightInd w:val="0"/>
        <w:spacing w:after="0"/>
        <w:ind w:firstLine="451"/>
        <w:rPr>
          <w:rFonts w:asciiTheme="majorBidi" w:hAnsiTheme="majorBidi" w:cstheme="majorBidi"/>
        </w:rPr>
      </w:pPr>
      <w:r w:rsidRPr="00562159">
        <w:rPr>
          <w:rFonts w:asciiTheme="majorBidi" w:hAnsiTheme="majorBidi" w:cstheme="majorBidi"/>
        </w:rPr>
        <w:t xml:space="preserve">      </w:t>
      </w:r>
      <w:r w:rsidRPr="00562159">
        <w:rPr>
          <w:rFonts w:asciiTheme="majorBidi" w:eastAsia="Calibri" w:hAnsiTheme="majorBidi" w:cstheme="majorBidi"/>
        </w:rPr>
        <w:t>L’objectif de</w:t>
      </w:r>
      <w:r w:rsidRPr="00562159">
        <w:rPr>
          <w:rFonts w:asciiTheme="majorBidi" w:hAnsiTheme="majorBidi" w:cstheme="majorBidi"/>
        </w:rPr>
        <w:t xml:space="preserve"> cette étude, est l’application du</w:t>
      </w:r>
      <w:r w:rsidR="0027249A" w:rsidRPr="00562159">
        <w:rPr>
          <w:rFonts w:asciiTheme="majorBidi" w:hAnsiTheme="majorBidi" w:cstheme="majorBidi"/>
        </w:rPr>
        <w:t xml:space="preserve"> procédé d’adsorption de</w:t>
      </w:r>
      <w:r w:rsidRPr="00562159">
        <w:rPr>
          <w:rFonts w:asciiTheme="majorBidi" w:hAnsiTheme="majorBidi" w:cstheme="majorBidi"/>
        </w:rPr>
        <w:t xml:space="preserve"> colorant   textile rouge maxilon en solution aqueuse sur un matériau des résidus de l’extraction.</w:t>
      </w:r>
    </w:p>
    <w:p w:rsidR="00562159" w:rsidRPr="00562159" w:rsidRDefault="00562159" w:rsidP="00CD67C0">
      <w:pPr>
        <w:autoSpaceDE w:val="0"/>
        <w:autoSpaceDN w:val="0"/>
        <w:adjustRightInd w:val="0"/>
        <w:spacing w:after="0"/>
        <w:ind w:firstLine="451"/>
        <w:jc w:val="both"/>
        <w:rPr>
          <w:rFonts w:asciiTheme="majorBidi" w:hAnsiTheme="majorBidi" w:cstheme="majorBidi"/>
        </w:rPr>
      </w:pPr>
      <w:r w:rsidRPr="00562159">
        <w:rPr>
          <w:rFonts w:asciiTheme="majorBidi" w:hAnsiTheme="majorBidi" w:cstheme="majorBidi"/>
        </w:rPr>
        <w:t xml:space="preserve">     </w:t>
      </w:r>
      <w:r w:rsidR="00132537" w:rsidRPr="00562159">
        <w:rPr>
          <w:rFonts w:asciiTheme="majorBidi" w:hAnsiTheme="majorBidi" w:cstheme="majorBidi"/>
        </w:rPr>
        <w:t xml:space="preserve"> L’extraction des huiles essent</w:t>
      </w:r>
      <w:r w:rsidR="0027249A" w:rsidRPr="00562159">
        <w:rPr>
          <w:rFonts w:asciiTheme="majorBidi" w:hAnsiTheme="majorBidi" w:cstheme="majorBidi"/>
        </w:rPr>
        <w:t>ielles de rhizome de gingembre s</w:t>
      </w:r>
      <w:r w:rsidR="00132537" w:rsidRPr="00562159">
        <w:rPr>
          <w:rFonts w:asciiTheme="majorBidi" w:hAnsiTheme="majorBidi" w:cstheme="majorBidi"/>
        </w:rPr>
        <w:t xml:space="preserve">e fait par une technique classique d’Hydrodistillation </w:t>
      </w:r>
      <w:r w:rsidR="00132537" w:rsidRPr="00562159">
        <w:rPr>
          <w:rFonts w:asciiTheme="majorBidi" w:hAnsiTheme="majorBidi" w:cstheme="majorBidi"/>
          <w:color w:val="000000"/>
          <w:shd w:val="clear" w:color="auto" w:fill="FFFFFF"/>
        </w:rPr>
        <w:t xml:space="preserve">est nous déterminerons : </w:t>
      </w:r>
      <w:r w:rsidR="00132537" w:rsidRPr="00562159">
        <w:rPr>
          <w:rFonts w:asciiTheme="majorBidi" w:hAnsiTheme="majorBidi" w:cstheme="majorBidi"/>
        </w:rPr>
        <w:t>Les paramètres organoleptiques</w:t>
      </w:r>
      <w:r w:rsidR="00132537" w:rsidRPr="00562159">
        <w:rPr>
          <w:rFonts w:asciiTheme="majorBidi" w:hAnsiTheme="majorBidi" w:cstheme="majorBidi"/>
          <w:color w:val="000000"/>
        </w:rPr>
        <w:t> </w:t>
      </w:r>
      <w:r w:rsidR="00132537" w:rsidRPr="00562159">
        <w:rPr>
          <w:rFonts w:asciiTheme="majorBidi" w:hAnsiTheme="majorBidi" w:cstheme="majorBidi"/>
          <w:b/>
          <w:bCs/>
        </w:rPr>
        <w:t xml:space="preserve">; </w:t>
      </w:r>
      <w:r w:rsidR="00132537" w:rsidRPr="00562159">
        <w:rPr>
          <w:rFonts w:asciiTheme="majorBidi" w:hAnsiTheme="majorBidi" w:cstheme="majorBidi"/>
          <w:color w:val="000000"/>
        </w:rPr>
        <w:t xml:space="preserve">taux d’humidité ; rendement d’extraction ; la </w:t>
      </w:r>
      <w:r w:rsidR="00132537" w:rsidRPr="00562159">
        <w:rPr>
          <w:rFonts w:asciiTheme="majorBidi" w:hAnsiTheme="majorBidi" w:cstheme="majorBidi"/>
        </w:rPr>
        <w:t xml:space="preserve">cinétique d’extraction et </w:t>
      </w:r>
      <w:r w:rsidR="00132537" w:rsidRPr="00562159">
        <w:rPr>
          <w:rFonts w:asciiTheme="majorBidi" w:hAnsiTheme="majorBidi" w:cstheme="majorBidi"/>
          <w:color w:val="000000"/>
        </w:rPr>
        <w:t xml:space="preserve"> L’analyse par chromatographie en CPG  et </w:t>
      </w:r>
      <w:r w:rsidR="0027249A" w:rsidRPr="00562159">
        <w:rPr>
          <w:rFonts w:asciiTheme="majorBidi" w:hAnsiTheme="majorBidi" w:cstheme="majorBidi"/>
          <w:color w:val="000000"/>
        </w:rPr>
        <w:t>G</w:t>
      </w:r>
      <w:r w:rsidR="00132537" w:rsidRPr="00562159">
        <w:rPr>
          <w:rFonts w:asciiTheme="majorBidi" w:hAnsiTheme="majorBidi" w:cstheme="majorBidi"/>
          <w:color w:val="000000"/>
        </w:rPr>
        <w:t>C/MS</w:t>
      </w:r>
      <w:r w:rsidR="00132537" w:rsidRPr="00562159">
        <w:rPr>
          <w:rFonts w:asciiTheme="majorBidi" w:hAnsiTheme="majorBidi" w:cstheme="majorBidi"/>
        </w:rPr>
        <w:t xml:space="preserve"> .Par la </w:t>
      </w:r>
      <w:proofErr w:type="gramStart"/>
      <w:r w:rsidR="00132537" w:rsidRPr="00562159">
        <w:rPr>
          <w:rFonts w:asciiTheme="majorBidi" w:hAnsiTheme="majorBidi" w:cstheme="majorBidi"/>
        </w:rPr>
        <w:t xml:space="preserve">suite </w:t>
      </w:r>
      <w:r w:rsidR="0027249A" w:rsidRPr="00562159">
        <w:rPr>
          <w:rFonts w:asciiTheme="majorBidi" w:hAnsiTheme="majorBidi" w:cstheme="majorBidi"/>
        </w:rPr>
        <w:t>,</w:t>
      </w:r>
      <w:proofErr w:type="gramEnd"/>
      <w:r w:rsidR="00132537" w:rsidRPr="00562159">
        <w:rPr>
          <w:rFonts w:asciiTheme="majorBidi" w:hAnsiTheme="majorBidi" w:cstheme="majorBidi"/>
        </w:rPr>
        <w:t xml:space="preserve"> nous appliquons le procédé d’adsorption sur  </w:t>
      </w:r>
      <w:r w:rsidR="00132537" w:rsidRPr="00562159">
        <w:rPr>
          <w:rFonts w:ascii="Times New Roman" w:hAnsi="Times New Roman" w:cs="Times New Roman"/>
        </w:rPr>
        <w:t>La caractérisation de ce matériau a bien montré la possibilité de sa valorisation.</w:t>
      </w:r>
      <w:r w:rsidR="00132537" w:rsidRPr="00562159">
        <w:rPr>
          <w:rFonts w:asciiTheme="majorBidi" w:hAnsiTheme="majorBidi" w:cstheme="majorBidi"/>
        </w:rPr>
        <w:t xml:space="preserve"> qu’il  nécessite de connaître : les propriétés du matériau  adsorbant (</w:t>
      </w:r>
      <w:proofErr w:type="spellStart"/>
      <w:r w:rsidR="00132537" w:rsidRPr="00562159">
        <w:rPr>
          <w:rFonts w:asciiTheme="majorBidi" w:hAnsiTheme="majorBidi" w:cstheme="majorBidi"/>
        </w:rPr>
        <w:t>pH</w:t>
      </w:r>
      <w:r w:rsidR="00132537" w:rsidRPr="00562159">
        <w:rPr>
          <w:rFonts w:asciiTheme="majorBidi" w:hAnsiTheme="majorBidi" w:cstheme="majorBidi"/>
          <w:vertAlign w:val="subscript"/>
        </w:rPr>
        <w:t>Pzc</w:t>
      </w:r>
      <w:proofErr w:type="spellEnd"/>
      <w:r w:rsidR="00132537" w:rsidRPr="00562159">
        <w:rPr>
          <w:rFonts w:asciiTheme="majorBidi" w:hAnsiTheme="majorBidi" w:cstheme="majorBidi"/>
        </w:rPr>
        <w:t> ,MEB et FTIR) .Une étude systématique a été effectuée pour examiner l’influence de certains  paramètres opératoires sur le rendement d’adsorption à savoir :</w:t>
      </w:r>
      <w:r w:rsidR="0027249A" w:rsidRPr="00562159">
        <w:rPr>
          <w:rFonts w:asciiTheme="majorBidi" w:hAnsiTheme="majorBidi" w:cstheme="majorBidi"/>
        </w:rPr>
        <w:t xml:space="preserve"> temps de contact,  pH,  masse de la biomasse, </w:t>
      </w:r>
      <w:r w:rsidR="00132537" w:rsidRPr="00562159">
        <w:rPr>
          <w:rFonts w:asciiTheme="majorBidi" w:hAnsiTheme="majorBidi" w:cstheme="majorBidi"/>
        </w:rPr>
        <w:t>vitesse de l’agitat</w:t>
      </w:r>
      <w:r w:rsidR="0027249A" w:rsidRPr="00562159">
        <w:rPr>
          <w:rFonts w:asciiTheme="majorBidi" w:hAnsiTheme="majorBidi" w:cstheme="majorBidi"/>
        </w:rPr>
        <w:t>ion, diamètre des particules,</w:t>
      </w:r>
      <w:r w:rsidR="00132537" w:rsidRPr="00562159">
        <w:rPr>
          <w:rFonts w:asciiTheme="majorBidi" w:hAnsiTheme="majorBidi" w:cstheme="majorBidi"/>
        </w:rPr>
        <w:t xml:space="preserve"> température et la concentration initiale du colorant. Les résultats obtenus sont très prometteurs. En effet, un rendement d’adsorption de 95% pour rouge maxilon obtenu dans les conditions opératoires (concentration de colorant de 50 mg/L, masse de l’adsorbant de 10 g, pH initial de la solution</w:t>
      </w:r>
      <w:r w:rsidR="00292722" w:rsidRPr="00562159">
        <w:rPr>
          <w:rFonts w:asciiTheme="majorBidi" w:hAnsiTheme="majorBidi" w:cstheme="majorBidi"/>
        </w:rPr>
        <w:t xml:space="preserve"> 7, 8</w:t>
      </w:r>
      <w:r w:rsidR="00132537" w:rsidRPr="00562159">
        <w:rPr>
          <w:rFonts w:asciiTheme="majorBidi" w:hAnsiTheme="majorBidi" w:cstheme="majorBidi"/>
        </w:rPr>
        <w:t>.  L’étude cinétique a montré que l’équilibre d’adsorption est atteint au bout des premières 10</w:t>
      </w:r>
      <w:r w:rsidR="0027249A" w:rsidRPr="00562159">
        <w:rPr>
          <w:rFonts w:asciiTheme="majorBidi" w:hAnsiTheme="majorBidi" w:cstheme="majorBidi"/>
        </w:rPr>
        <w:t xml:space="preserve"> </w:t>
      </w:r>
      <w:r w:rsidR="00132537" w:rsidRPr="00562159">
        <w:rPr>
          <w:rFonts w:asciiTheme="majorBidi" w:hAnsiTheme="majorBidi" w:cstheme="majorBidi"/>
        </w:rPr>
        <w:t>min de contact adsorba</w:t>
      </w:r>
      <w:r w:rsidR="0027249A" w:rsidRPr="00562159">
        <w:rPr>
          <w:rFonts w:asciiTheme="majorBidi" w:hAnsiTheme="majorBidi" w:cstheme="majorBidi"/>
        </w:rPr>
        <w:t>n</w:t>
      </w:r>
      <w:r w:rsidR="00132537" w:rsidRPr="00562159">
        <w:rPr>
          <w:rFonts w:asciiTheme="majorBidi" w:hAnsiTheme="majorBidi" w:cstheme="majorBidi"/>
        </w:rPr>
        <w:t>t-</w:t>
      </w:r>
      <w:r w:rsidR="0027249A" w:rsidRPr="00562159">
        <w:rPr>
          <w:rFonts w:asciiTheme="majorBidi" w:hAnsiTheme="majorBidi" w:cstheme="majorBidi"/>
        </w:rPr>
        <w:t xml:space="preserve"> adsorbât</w:t>
      </w:r>
      <w:r w:rsidR="00132537" w:rsidRPr="00562159">
        <w:rPr>
          <w:rFonts w:asciiTheme="majorBidi" w:hAnsiTheme="majorBidi" w:cstheme="majorBidi"/>
        </w:rPr>
        <w:t>. L’isotherme d’adsorption de colorant  a été étudiée en examinant l’application des modèles linéaires et non linéaires : Les résultats obtenus indiquent que le modèle de Langmuir (</w:t>
      </w:r>
      <w:r w:rsidR="00132537" w:rsidRPr="00562159">
        <w:rPr>
          <w:rFonts w:asciiTheme="majorBidi" w:hAnsiTheme="majorBidi" w:cstheme="majorBidi"/>
          <w:i/>
          <w:iCs/>
        </w:rPr>
        <w:t>R</w:t>
      </w:r>
      <w:r w:rsidR="00132537" w:rsidRPr="00562159">
        <w:rPr>
          <w:rFonts w:asciiTheme="majorBidi" w:hAnsiTheme="majorBidi" w:cstheme="majorBidi"/>
          <w:i/>
          <w:iCs/>
          <w:vertAlign w:val="superscript"/>
        </w:rPr>
        <w:t>2</w:t>
      </w:r>
      <w:r w:rsidR="00132537" w:rsidRPr="00562159">
        <w:rPr>
          <w:rFonts w:asciiTheme="majorBidi" w:hAnsiTheme="majorBidi" w:cstheme="majorBidi"/>
        </w:rPr>
        <w:t xml:space="preserve"> = 0,9999) décrit convenablement les résultats expérimentaux pour le colorant. En outre l’étude cinétique de l’adsorption révèle que la vitesse de la réaction est  du pseudo second ordre.  De même, nous avons appliqué aux résultats expérimentaux le modèle de la diffusion intraparticulaire </w:t>
      </w:r>
      <w:r w:rsidR="00CD67C0">
        <w:rPr>
          <w:rFonts w:asciiTheme="majorBidi" w:hAnsiTheme="majorBidi" w:cstheme="majorBidi"/>
        </w:rPr>
        <w:t>.</w:t>
      </w:r>
      <w:r w:rsidR="00132537" w:rsidRPr="00562159">
        <w:rPr>
          <w:rFonts w:asciiTheme="majorBidi" w:hAnsiTheme="majorBidi" w:cstheme="majorBidi"/>
        </w:rPr>
        <w:t>La détermination des paramètres thermodynamiques a permis de conclure que le processus d’adsorpti</w:t>
      </w:r>
      <w:r w:rsidR="0027249A" w:rsidRPr="00562159">
        <w:rPr>
          <w:rFonts w:asciiTheme="majorBidi" w:hAnsiTheme="majorBidi" w:cstheme="majorBidi"/>
        </w:rPr>
        <w:t>on  de colorant est spontané ; e</w:t>
      </w:r>
      <w:r w:rsidR="00132537" w:rsidRPr="00562159">
        <w:rPr>
          <w:rFonts w:asciiTheme="majorBidi" w:hAnsiTheme="majorBidi" w:cstheme="majorBidi"/>
        </w:rPr>
        <w:t>ndothermique et l’adsorption et de type physisorption.</w:t>
      </w:r>
    </w:p>
    <w:p w:rsidR="00CD67C0" w:rsidRDefault="00CD67C0" w:rsidP="00CD67C0">
      <w:pPr>
        <w:pBdr>
          <w:bottom w:val="dotted" w:sz="24" w:space="3" w:color="auto"/>
        </w:pBdr>
        <w:autoSpaceDE w:val="0"/>
        <w:autoSpaceDN w:val="0"/>
        <w:adjustRightInd w:val="0"/>
        <w:spacing w:after="0"/>
        <w:jc w:val="both"/>
        <w:rPr>
          <w:rFonts w:ascii="Times New Roman" w:hAnsi="Times New Roman" w:cs="Times New Roman"/>
          <w:b/>
          <w:bCs/>
          <w:i/>
          <w:iCs/>
          <w:sz w:val="20"/>
          <w:szCs w:val="20"/>
        </w:rPr>
      </w:pPr>
    </w:p>
    <w:p w:rsidR="00CD67C0" w:rsidRPr="00562159" w:rsidRDefault="00CD67C0" w:rsidP="00CD67C0">
      <w:pPr>
        <w:pBdr>
          <w:bottom w:val="dotted" w:sz="24" w:space="3" w:color="auto"/>
        </w:pBdr>
        <w:autoSpaceDE w:val="0"/>
        <w:autoSpaceDN w:val="0"/>
        <w:adjustRightInd w:val="0"/>
        <w:spacing w:after="0"/>
        <w:jc w:val="both"/>
        <w:rPr>
          <w:rFonts w:asciiTheme="majorBidi" w:hAnsiTheme="majorBidi" w:cstheme="majorBidi"/>
          <w:b/>
          <w:bCs/>
          <w:i/>
          <w:iCs/>
        </w:rPr>
      </w:pPr>
    </w:p>
    <w:p w:rsidR="00820324" w:rsidRPr="00CD67C0" w:rsidRDefault="00820324" w:rsidP="00CD67C0">
      <w:pPr>
        <w:spacing w:after="0"/>
        <w:jc w:val="center"/>
        <w:rPr>
          <w:rFonts w:asciiTheme="majorBidi" w:hAnsiTheme="majorBidi" w:cs="Times New Roman"/>
          <w:sz w:val="24"/>
          <w:szCs w:val="24"/>
        </w:rPr>
      </w:pPr>
    </w:p>
    <w:sectPr w:rsidR="00820324" w:rsidRPr="00CD67C0" w:rsidSect="006C25E1">
      <w:pgSz w:w="11906" w:h="16838"/>
      <w:pgMar w:top="1418" w:right="1418" w:bottom="1418" w:left="1418" w:header="709" w:footer="709" w:gutter="0"/>
      <w:pgBorders w:offsetFrom="page">
        <w:top w:val="twistedLines1" w:sz="18" w:space="24" w:color="4F6228" w:themeColor="accent3" w:themeShade="80"/>
        <w:left w:val="twistedLines1" w:sz="18" w:space="24" w:color="4F6228" w:themeColor="accent3" w:themeShade="80"/>
        <w:bottom w:val="twistedLines1" w:sz="18" w:space="24" w:color="4F6228" w:themeColor="accent3" w:themeShade="80"/>
        <w:right w:val="twistedLines1" w:sz="18" w:space="24" w:color="4F6228" w:themeColor="accent3" w:themeShade="80"/>
      </w:pgBorders>
      <w:pgNumType w:fmt="lowerRoman"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95F9B" w:rsidRDefault="00C95F9B" w:rsidP="00BC317C">
      <w:pPr>
        <w:spacing w:after="0" w:line="240" w:lineRule="auto"/>
      </w:pPr>
      <w:r>
        <w:separator/>
      </w:r>
    </w:p>
  </w:endnote>
  <w:endnote w:type="continuationSeparator" w:id="0">
    <w:p w:rsidR="00C95F9B" w:rsidRDefault="00C95F9B" w:rsidP="00BC317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95F9B" w:rsidRDefault="00C95F9B" w:rsidP="00BC317C">
      <w:pPr>
        <w:spacing w:after="0" w:line="240" w:lineRule="auto"/>
      </w:pPr>
      <w:r>
        <w:separator/>
      </w:r>
    </w:p>
  </w:footnote>
  <w:footnote w:type="continuationSeparator" w:id="0">
    <w:p w:rsidR="00C95F9B" w:rsidRDefault="00C95F9B" w:rsidP="00BC317C">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grammar="clean"/>
  <w:defaultTabStop w:val="708"/>
  <w:hyphenationZone w:val="425"/>
  <w:characterSpacingControl w:val="doNotCompress"/>
  <w:savePreviewPicture/>
  <w:hdrShapeDefaults>
    <o:shapedefaults v:ext="edit" spidmax="26625"/>
  </w:hdrShapeDefaults>
  <w:footnotePr>
    <w:footnote w:id="-1"/>
    <w:footnote w:id="0"/>
  </w:footnotePr>
  <w:endnotePr>
    <w:endnote w:id="-1"/>
    <w:endnote w:id="0"/>
  </w:endnotePr>
  <w:compat/>
  <w:rsids>
    <w:rsidRoot w:val="00B87DE9"/>
    <w:rsid w:val="00074AEE"/>
    <w:rsid w:val="000948B7"/>
    <w:rsid w:val="000A36CA"/>
    <w:rsid w:val="000E21DF"/>
    <w:rsid w:val="00132537"/>
    <w:rsid w:val="00144FE1"/>
    <w:rsid w:val="00152B40"/>
    <w:rsid w:val="0016658F"/>
    <w:rsid w:val="0027249A"/>
    <w:rsid w:val="00292722"/>
    <w:rsid w:val="002F7820"/>
    <w:rsid w:val="00343DC5"/>
    <w:rsid w:val="00362221"/>
    <w:rsid w:val="004126B5"/>
    <w:rsid w:val="00442551"/>
    <w:rsid w:val="004B4797"/>
    <w:rsid w:val="005038A5"/>
    <w:rsid w:val="00534C9A"/>
    <w:rsid w:val="00562159"/>
    <w:rsid w:val="00562A11"/>
    <w:rsid w:val="00565030"/>
    <w:rsid w:val="00565B96"/>
    <w:rsid w:val="005A5E9F"/>
    <w:rsid w:val="00644562"/>
    <w:rsid w:val="006538A4"/>
    <w:rsid w:val="00655919"/>
    <w:rsid w:val="006B66C7"/>
    <w:rsid w:val="006C25E1"/>
    <w:rsid w:val="007372C7"/>
    <w:rsid w:val="0074566C"/>
    <w:rsid w:val="007F080A"/>
    <w:rsid w:val="00806290"/>
    <w:rsid w:val="00820324"/>
    <w:rsid w:val="0083560E"/>
    <w:rsid w:val="008718FB"/>
    <w:rsid w:val="008E6240"/>
    <w:rsid w:val="008F410B"/>
    <w:rsid w:val="009006C2"/>
    <w:rsid w:val="00952407"/>
    <w:rsid w:val="009A7CAB"/>
    <w:rsid w:val="009E19DF"/>
    <w:rsid w:val="00A720E4"/>
    <w:rsid w:val="00B30668"/>
    <w:rsid w:val="00B74567"/>
    <w:rsid w:val="00B87DE9"/>
    <w:rsid w:val="00BB11FF"/>
    <w:rsid w:val="00BC317C"/>
    <w:rsid w:val="00C30377"/>
    <w:rsid w:val="00C85A4C"/>
    <w:rsid w:val="00C95F9B"/>
    <w:rsid w:val="00CD67C0"/>
    <w:rsid w:val="00D313B1"/>
    <w:rsid w:val="00D31F1F"/>
    <w:rsid w:val="00DD3353"/>
    <w:rsid w:val="00DE2B7D"/>
    <w:rsid w:val="00DF20CD"/>
    <w:rsid w:val="00E40DB5"/>
    <w:rsid w:val="00E60FE1"/>
    <w:rsid w:val="00E764CF"/>
    <w:rsid w:val="00EE18A4"/>
    <w:rsid w:val="00F62EB3"/>
    <w:rsid w:val="00F72E22"/>
    <w:rsid w:val="00FA1297"/>
    <w:rsid w:val="00FA56BC"/>
    <w:rsid w:val="00FB3866"/>
    <w:rsid w:val="00FF0E5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58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BC317C"/>
    <w:pPr>
      <w:tabs>
        <w:tab w:val="center" w:pos="4536"/>
        <w:tab w:val="right" w:pos="9072"/>
      </w:tabs>
      <w:spacing w:after="0" w:line="240" w:lineRule="auto"/>
    </w:pPr>
  </w:style>
  <w:style w:type="character" w:customStyle="1" w:styleId="En-tteCar">
    <w:name w:val="En-tête Car"/>
    <w:basedOn w:val="Policepardfaut"/>
    <w:link w:val="En-tte"/>
    <w:uiPriority w:val="99"/>
    <w:rsid w:val="00BC317C"/>
  </w:style>
  <w:style w:type="paragraph" w:styleId="Pieddepage">
    <w:name w:val="footer"/>
    <w:basedOn w:val="Normal"/>
    <w:link w:val="PieddepageCar"/>
    <w:uiPriority w:val="99"/>
    <w:semiHidden/>
    <w:unhideWhenUsed/>
    <w:rsid w:val="00BC317C"/>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BC317C"/>
  </w:style>
  <w:style w:type="paragraph" w:styleId="Textedebulles">
    <w:name w:val="Balloon Text"/>
    <w:basedOn w:val="Normal"/>
    <w:link w:val="TextedebullesCar"/>
    <w:uiPriority w:val="99"/>
    <w:semiHidden/>
    <w:unhideWhenUsed/>
    <w:rsid w:val="00BC317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C317C"/>
    <w:rPr>
      <w:rFonts w:ascii="Tahoma" w:hAnsi="Tahoma" w:cs="Tahoma"/>
      <w:sz w:val="16"/>
      <w:szCs w:val="16"/>
    </w:rPr>
  </w:style>
  <w:style w:type="character" w:customStyle="1" w:styleId="hps">
    <w:name w:val="hps"/>
    <w:basedOn w:val="Policepardfaut"/>
    <w:rsid w:val="006538A4"/>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48DEA83-E9DA-4F0B-ADD4-3768B3DF60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524</TotalTime>
  <Pages>1</Pages>
  <Words>314</Words>
  <Characters>1733</Characters>
  <Application>Microsoft Office Word</Application>
  <DocSecurity>0</DocSecurity>
  <Lines>14</Lines>
  <Paragraphs>4</Paragraphs>
  <ScaleCrop>false</ScaleCrop>
  <HeadingPairs>
    <vt:vector size="4" baseType="variant">
      <vt:variant>
        <vt:lpstr>Titre</vt:lpstr>
      </vt:variant>
      <vt:variant>
        <vt:i4>1</vt:i4>
      </vt:variant>
      <vt:variant>
        <vt:lpstr>Titres</vt:lpstr>
      </vt:variant>
      <vt:variant>
        <vt:i4>3</vt:i4>
      </vt:variant>
    </vt:vector>
  </HeadingPairs>
  <TitlesOfParts>
    <vt:vector size="4" baseType="lpstr">
      <vt:lpstr>Résumé</vt:lpstr>
      <vt:lpstr/>
      <vt:lpstr>Résumé</vt:lpstr>
      <vt:lpstr/>
    </vt:vector>
  </TitlesOfParts>
  <Company>pc line</Company>
  <LinksUpToDate>false</LinksUpToDate>
  <CharactersWithSpaces>2043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Résumé</dc:title>
  <dc:creator>SUMSUNG</dc:creator>
  <cp:lastModifiedBy>SUMSUNG</cp:lastModifiedBy>
  <cp:revision>58</cp:revision>
  <dcterms:created xsi:type="dcterms:W3CDTF">2015-11-08T12:23:00Z</dcterms:created>
  <dcterms:modified xsi:type="dcterms:W3CDTF">2016-07-12T14:58:00Z</dcterms:modified>
</cp:coreProperties>
</file>