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51E" w:rsidRPr="00B64F91" w:rsidRDefault="0076051E" w:rsidP="0076051E">
      <w:pPr>
        <w:autoSpaceDE w:val="0"/>
        <w:autoSpaceDN w:val="0"/>
        <w:adjustRightInd w:val="0"/>
        <w:jc w:val="center"/>
        <w:rPr>
          <w:rFonts w:ascii="Algerian" w:hAnsi="Algerian" w:cs="CMBX12"/>
          <w:b/>
          <w:bCs/>
          <w:sz w:val="28"/>
          <w:szCs w:val="26"/>
          <w:lang w:val="en-US"/>
        </w:rPr>
      </w:pPr>
      <w:r w:rsidRPr="00B64F91">
        <w:rPr>
          <w:rFonts w:ascii="Algerian" w:hAnsi="Algerian" w:cs="CMBX12"/>
          <w:b/>
          <w:bCs/>
          <w:sz w:val="28"/>
          <w:szCs w:val="26"/>
          <w:lang w:val="en-US"/>
        </w:rPr>
        <w:t>Abstract</w:t>
      </w:r>
    </w:p>
    <w:p w:rsidR="0076051E" w:rsidRPr="00B64F91" w:rsidRDefault="0076051E" w:rsidP="0076051E">
      <w:pPr>
        <w:pBdr>
          <w:bottom w:val="single" w:sz="6" w:space="1" w:color="auto"/>
        </w:pBdr>
        <w:autoSpaceDE w:val="0"/>
        <w:autoSpaceDN w:val="0"/>
        <w:adjustRightInd w:val="0"/>
        <w:rPr>
          <w:rFonts w:ascii="Algerian" w:hAnsi="Algerian" w:cs="CMBX12"/>
          <w:b/>
          <w:bCs/>
          <w:sz w:val="10"/>
          <w:szCs w:val="10"/>
          <w:lang w:val="en-US"/>
        </w:rPr>
      </w:pPr>
    </w:p>
    <w:p w:rsidR="0076051E" w:rsidRPr="00B64F91" w:rsidRDefault="0076051E" w:rsidP="0076051E">
      <w:pPr>
        <w:rPr>
          <w:rFonts w:ascii="Arial Narrow" w:hAnsi="Arial Narrow" w:cs="CMBX12"/>
          <w:lang w:val="en-US"/>
        </w:rPr>
      </w:pPr>
    </w:p>
    <w:p w:rsidR="0076051E" w:rsidRPr="00EA6E49" w:rsidRDefault="0076051E" w:rsidP="0076051E">
      <w:pPr>
        <w:pStyle w:val="ElsParagraph"/>
        <w:spacing w:before="120" w:line="276" w:lineRule="auto"/>
        <w:ind w:firstLine="851"/>
        <w:rPr>
          <w:rFonts w:asciiTheme="minorBidi" w:eastAsia="TimesNewRomanPSMT" w:hAnsiTheme="minorBidi" w:cstheme="minorBidi"/>
          <w:sz w:val="24"/>
          <w:szCs w:val="24"/>
          <w:lang w:val="en-GB"/>
        </w:rPr>
      </w:pPr>
      <w:r w:rsidRPr="00EA6E49">
        <w:rPr>
          <w:rFonts w:asciiTheme="minorBidi" w:eastAsia="TimesNewRomanPSMT" w:hAnsiTheme="minorBidi" w:cstheme="minorBidi"/>
          <w:sz w:val="24"/>
          <w:szCs w:val="24"/>
          <w:lang w:val="en-GB"/>
        </w:rPr>
        <w:t xml:space="preserve">Speaker and regional accents recognition are two strongly linked domains in speech forensics and tracking applications. Identifying the speaker’s accent is one of the most </w:t>
      </w:r>
      <w:r w:rsidRPr="00806B38">
        <w:rPr>
          <w:rFonts w:asciiTheme="minorBidi" w:eastAsia="TimesNewRomanPSMT" w:hAnsiTheme="minorBidi" w:cstheme="minorBidi"/>
          <w:sz w:val="24"/>
          <w:szCs w:val="24"/>
          <w:lang w:val="en-GB"/>
        </w:rPr>
        <w:t>challenging tasks</w:t>
      </w:r>
      <w:r w:rsidRPr="00EA6E49">
        <w:rPr>
          <w:rFonts w:asciiTheme="minorBidi" w:eastAsia="TimesNewRomanPSMT" w:hAnsiTheme="minorBidi" w:cstheme="minorBidi"/>
          <w:sz w:val="24"/>
          <w:szCs w:val="24"/>
          <w:lang w:val="en-GB"/>
        </w:rPr>
        <w:t xml:space="preserve"> in the speaker verification process. Moreover, quantifying dialect/accent dependent features is more than necessary for the forensic examiner in order to verify whether a given acoustic feature is speaker specific or commonly found in the speaker’s dialect/accent.</w:t>
      </w:r>
    </w:p>
    <w:p w:rsidR="0076051E" w:rsidRPr="00EA6E49" w:rsidRDefault="0076051E" w:rsidP="0076051E">
      <w:pPr>
        <w:pStyle w:val="ElsParagraph"/>
        <w:spacing w:before="120" w:line="276" w:lineRule="auto"/>
        <w:ind w:firstLine="851"/>
        <w:rPr>
          <w:rFonts w:asciiTheme="minorBidi" w:eastAsia="TimesNewRomanPSMT" w:hAnsiTheme="minorBidi" w:cstheme="minorBidi"/>
          <w:sz w:val="24"/>
          <w:szCs w:val="24"/>
          <w:lang w:val="en-GB"/>
        </w:rPr>
      </w:pPr>
      <w:r w:rsidRPr="00EA6E49">
        <w:rPr>
          <w:rFonts w:asciiTheme="minorBidi" w:eastAsia="TimesNewRomanPSMT" w:hAnsiTheme="minorBidi" w:cstheme="minorBidi"/>
          <w:sz w:val="24"/>
          <w:szCs w:val="24"/>
          <w:lang w:val="en-GB"/>
        </w:rPr>
        <w:t xml:space="preserve">Investigating regional accents can provide important benefits for speaker recognition, particularly during the investigation phase. It can help the investigator to narrow down the search space at the front end once the features used in ASRS are adapted to regional origin. </w:t>
      </w:r>
      <w:r>
        <w:rPr>
          <w:rFonts w:asciiTheme="minorBidi" w:eastAsia="TimesNewRomanPSMT" w:hAnsiTheme="minorBidi" w:cstheme="minorBidi"/>
          <w:sz w:val="24"/>
          <w:szCs w:val="24"/>
          <w:lang w:val="en-GB"/>
        </w:rPr>
        <w:t>For</w:t>
      </w:r>
      <w:r w:rsidRPr="00EA6E49">
        <w:rPr>
          <w:rFonts w:asciiTheme="minorBidi" w:eastAsia="TimesNewRomanPSMT" w:hAnsiTheme="minorBidi" w:cstheme="minorBidi"/>
          <w:sz w:val="24"/>
          <w:szCs w:val="24"/>
          <w:lang w:val="en-GB"/>
        </w:rPr>
        <w:t xml:space="preserve"> immigration screening, for example, it may be helpful to verify whether an applicant’s accent corresponds to accents spoken in a region he/she claims to come from. Moreover, it can serve forensic speaker profiling in judicial or military situations. Identifying the speaker’s accent, his/her nationality and/or hometown, can often lead to important clues with regard to the suspect.</w:t>
      </w:r>
    </w:p>
    <w:p w:rsidR="0076051E" w:rsidRPr="00EA6E49" w:rsidRDefault="0076051E" w:rsidP="0076051E">
      <w:pPr>
        <w:pStyle w:val="ElsParagraph"/>
        <w:spacing w:before="120" w:line="276" w:lineRule="auto"/>
        <w:ind w:firstLine="851"/>
        <w:rPr>
          <w:rFonts w:asciiTheme="minorBidi" w:eastAsia="TimesNewRomanPSMT" w:hAnsiTheme="minorBidi" w:cstheme="minorBidi"/>
          <w:sz w:val="24"/>
          <w:szCs w:val="24"/>
          <w:lang w:val="en-GB"/>
        </w:rPr>
      </w:pPr>
      <w:r>
        <w:rPr>
          <w:rFonts w:asciiTheme="minorBidi" w:eastAsia="TimesNewRomanPSMT" w:hAnsiTheme="minorBidi" w:cstheme="minorBidi"/>
          <w:sz w:val="24"/>
          <w:szCs w:val="24"/>
          <w:lang w:val="en-GB"/>
        </w:rPr>
        <w:t>In this work,</w:t>
      </w:r>
      <w:r w:rsidRPr="00EA6E49">
        <w:rPr>
          <w:rFonts w:asciiTheme="minorBidi" w:eastAsia="TimesNewRomanPSMT" w:hAnsiTheme="minorBidi" w:cstheme="minorBidi"/>
          <w:sz w:val="24"/>
          <w:szCs w:val="24"/>
          <w:lang w:val="en-GB"/>
        </w:rPr>
        <w:t xml:space="preserve"> some aspects related to </w:t>
      </w:r>
      <w:r>
        <w:rPr>
          <w:rFonts w:asciiTheme="minorBidi" w:eastAsia="TimesNewRomanPSMT" w:hAnsiTheme="minorBidi" w:cstheme="minorBidi"/>
          <w:sz w:val="24"/>
          <w:szCs w:val="24"/>
          <w:lang w:val="en-GB"/>
        </w:rPr>
        <w:t xml:space="preserve">the </w:t>
      </w:r>
      <w:r w:rsidRPr="00EA6E49">
        <w:rPr>
          <w:rFonts w:asciiTheme="minorBidi" w:eastAsia="TimesNewRomanPSMT" w:hAnsiTheme="minorBidi" w:cstheme="minorBidi"/>
          <w:sz w:val="24"/>
          <w:szCs w:val="24"/>
          <w:lang w:val="en-GB"/>
        </w:rPr>
        <w:t>accuracy of regional accent and speaker recognition applications in forensics</w:t>
      </w:r>
      <w:r>
        <w:rPr>
          <w:rFonts w:asciiTheme="minorBidi" w:eastAsia="TimesNewRomanPSMT" w:hAnsiTheme="minorBidi" w:cstheme="minorBidi"/>
          <w:sz w:val="24"/>
          <w:szCs w:val="24"/>
          <w:lang w:val="en-GB"/>
        </w:rPr>
        <w:t xml:space="preserve"> </w:t>
      </w:r>
      <w:r w:rsidRPr="00806B38">
        <w:rPr>
          <w:rFonts w:asciiTheme="minorBidi" w:eastAsia="TimesNewRomanPSMT" w:hAnsiTheme="minorBidi" w:cstheme="minorBidi"/>
          <w:sz w:val="24"/>
          <w:szCs w:val="24"/>
          <w:lang w:val="en-GB"/>
        </w:rPr>
        <w:t>has been investigated</w:t>
      </w:r>
      <w:r w:rsidRPr="00EA6E49">
        <w:rPr>
          <w:rFonts w:asciiTheme="minorBidi" w:eastAsia="TimesNewRomanPSMT" w:hAnsiTheme="minorBidi" w:cstheme="minorBidi"/>
          <w:sz w:val="24"/>
          <w:szCs w:val="24"/>
          <w:lang w:val="en-GB"/>
        </w:rPr>
        <w:t xml:space="preserve"> particularly those related to the accuracy of state-of-the-art acoustic approaches within complex socio-linguistic environments such as the Algerian </w:t>
      </w:r>
      <w:r>
        <w:rPr>
          <w:rFonts w:asciiTheme="minorBidi" w:eastAsia="TimesNewRomanPSMT" w:hAnsiTheme="minorBidi" w:cstheme="minorBidi"/>
          <w:sz w:val="24"/>
          <w:szCs w:val="24"/>
          <w:lang w:val="en-GB"/>
        </w:rPr>
        <w:t xml:space="preserve">speech </w:t>
      </w:r>
      <w:r w:rsidRPr="00EA6E49">
        <w:rPr>
          <w:rFonts w:asciiTheme="minorBidi" w:eastAsia="TimesNewRomanPSMT" w:hAnsiTheme="minorBidi" w:cstheme="minorBidi"/>
          <w:sz w:val="24"/>
          <w:szCs w:val="24"/>
          <w:lang w:val="en-GB"/>
        </w:rPr>
        <w:t>case. In such kind of environments the data used to evaluate the accent recognition system, for example, includes speakers who are bilingual, which is an important aspect that</w:t>
      </w:r>
      <w:r>
        <w:rPr>
          <w:rFonts w:asciiTheme="minorBidi" w:eastAsia="TimesNewRomanPSMT" w:hAnsiTheme="minorBidi" w:cstheme="minorBidi"/>
          <w:sz w:val="24"/>
          <w:szCs w:val="24"/>
          <w:lang w:val="en-GB"/>
        </w:rPr>
        <w:t xml:space="preserve"> has often been neglected in </w:t>
      </w:r>
      <w:r w:rsidRPr="00EA6E49">
        <w:rPr>
          <w:rFonts w:asciiTheme="minorBidi" w:eastAsia="TimesNewRomanPSMT" w:hAnsiTheme="minorBidi" w:cstheme="minorBidi"/>
          <w:sz w:val="24"/>
          <w:szCs w:val="24"/>
          <w:lang w:val="en-GB"/>
        </w:rPr>
        <w:t>previous studies which are generally based on the evaluation of corpora collected from monolingual speakers. In fact, half of the world's speakers are bilingual and many of them have the attitude to switch, with different degrees, at least between two languages in the same utterance. Therefore, it is still unknown whether the current acoustic recognition approaches used for automatic monolingual accents recognition are able to deal with certain bilingual phenomena generated through the contact between languages such as code switching because this kind of phenomena does not exist in monolingual linguistic environments.</w:t>
      </w:r>
    </w:p>
    <w:p w:rsidR="0076051E" w:rsidRPr="00596C91" w:rsidRDefault="0076051E" w:rsidP="0076051E">
      <w:pPr>
        <w:pStyle w:val="ElsParagraph"/>
        <w:spacing w:before="120" w:line="276" w:lineRule="auto"/>
        <w:ind w:firstLine="851"/>
        <w:rPr>
          <w:rFonts w:asciiTheme="minorBidi" w:eastAsia="TimesNewRomanPSMT" w:hAnsiTheme="minorBidi" w:cstheme="minorBidi"/>
          <w:sz w:val="24"/>
          <w:szCs w:val="24"/>
          <w:lang w:val="en-GB"/>
        </w:rPr>
      </w:pPr>
      <w:r w:rsidRPr="00911ADD">
        <w:rPr>
          <w:rFonts w:asciiTheme="minorBidi" w:eastAsia="TimesNewRomanPSMT" w:hAnsiTheme="minorBidi" w:cstheme="minorBidi"/>
          <w:sz w:val="24"/>
          <w:szCs w:val="24"/>
          <w:lang w:val="en-GB"/>
        </w:rPr>
        <w:t xml:space="preserve">Automatic regional accent recognition approaches and the ability of recent acoustic systems to deal with such kind of environments </w:t>
      </w:r>
      <w:proofErr w:type="gramStart"/>
      <w:r w:rsidRPr="00911ADD">
        <w:rPr>
          <w:rFonts w:asciiTheme="minorBidi" w:eastAsia="TimesNewRomanPSMT" w:hAnsiTheme="minorBidi" w:cstheme="minorBidi"/>
          <w:sz w:val="24"/>
          <w:szCs w:val="24"/>
          <w:lang w:val="en-GB"/>
        </w:rPr>
        <w:t>has</w:t>
      </w:r>
      <w:proofErr w:type="gramEnd"/>
      <w:r w:rsidRPr="00911ADD">
        <w:rPr>
          <w:rFonts w:asciiTheme="minorBidi" w:eastAsia="TimesNewRomanPSMT" w:hAnsiTheme="minorBidi" w:cstheme="minorBidi"/>
          <w:sz w:val="24"/>
          <w:szCs w:val="24"/>
          <w:lang w:val="en-GB"/>
        </w:rPr>
        <w:t xml:space="preserve"> been investigated. To do so, a new evaluation Algerian dataset has been collected from mono and bilingual speakers in similar conditions to those encountered in forensic scenarios. It has been shown through intensive experiments that, in addition to the recording conditions mismatch, channels mismatch, recordings length mismatch and the amplitude clipping ratio which have a non-desirable effect on the </w:t>
      </w:r>
      <w:r>
        <w:rPr>
          <w:rFonts w:asciiTheme="minorBidi" w:eastAsia="TimesNewRomanPSMT" w:hAnsiTheme="minorBidi" w:cstheme="minorBidi"/>
          <w:sz w:val="24"/>
          <w:szCs w:val="24"/>
          <w:lang w:val="en-GB"/>
        </w:rPr>
        <w:t xml:space="preserve">accuracy of acoustic techniques, </w:t>
      </w:r>
      <w:r w:rsidRPr="00911ADD">
        <w:rPr>
          <w:rFonts w:asciiTheme="minorBidi" w:eastAsia="TimesNewRomanPSMT" w:hAnsiTheme="minorBidi" w:cstheme="minorBidi"/>
          <w:sz w:val="24"/>
          <w:szCs w:val="24"/>
          <w:lang w:val="en-GB"/>
        </w:rPr>
        <w:t xml:space="preserve">certain language contact phenomenon such as code switching is another perturbation source </w:t>
      </w:r>
      <w:r w:rsidRPr="00911ADD">
        <w:rPr>
          <w:rFonts w:asciiTheme="minorBidi" w:eastAsia="TimesNewRomanPSMT" w:hAnsiTheme="minorBidi" w:cstheme="minorBidi"/>
          <w:sz w:val="24"/>
          <w:szCs w:val="24"/>
          <w:lang w:val="en-GB"/>
        </w:rPr>
        <w:lastRenderedPageBreak/>
        <w:t>which should be taken into consideration in this kind of evaluation, particularly in real life applications.</w:t>
      </w:r>
    </w:p>
    <w:p w:rsidR="0076051E" w:rsidRPr="00596C91" w:rsidRDefault="0076051E" w:rsidP="0076051E">
      <w:pPr>
        <w:pStyle w:val="ElsParagraph"/>
        <w:spacing w:before="120" w:line="276" w:lineRule="auto"/>
        <w:ind w:firstLine="851"/>
        <w:rPr>
          <w:rFonts w:asciiTheme="minorBidi" w:eastAsia="TimesNewRomanPSMT" w:hAnsiTheme="minorBidi" w:cstheme="minorBidi"/>
          <w:sz w:val="24"/>
          <w:szCs w:val="24"/>
          <w:lang w:val="en-GB"/>
        </w:rPr>
      </w:pPr>
      <w:r>
        <w:rPr>
          <w:rFonts w:asciiTheme="minorBidi" w:eastAsia="TimesNewRomanPSMT" w:hAnsiTheme="minorBidi" w:cstheme="minorBidi"/>
          <w:sz w:val="24"/>
          <w:szCs w:val="24"/>
          <w:lang w:val="en-GB"/>
        </w:rPr>
        <w:t>T</w:t>
      </w:r>
      <w:r w:rsidRPr="00596C91">
        <w:rPr>
          <w:rFonts w:asciiTheme="minorBidi" w:eastAsia="TimesNewRomanPSMT" w:hAnsiTheme="minorBidi" w:cstheme="minorBidi"/>
          <w:sz w:val="24"/>
          <w:szCs w:val="24"/>
          <w:lang w:val="en-GB"/>
        </w:rPr>
        <w:t>he use of voice for evidence reporting cases</w:t>
      </w:r>
      <w:r>
        <w:rPr>
          <w:rFonts w:asciiTheme="minorBidi" w:eastAsia="TimesNewRomanPSMT" w:hAnsiTheme="minorBidi" w:cstheme="minorBidi"/>
          <w:sz w:val="24"/>
          <w:szCs w:val="24"/>
          <w:lang w:val="en-GB"/>
        </w:rPr>
        <w:t xml:space="preserve"> also</w:t>
      </w:r>
      <w:r w:rsidRPr="00596C91">
        <w:rPr>
          <w:rFonts w:asciiTheme="minorBidi" w:eastAsia="TimesNewRomanPSMT" w:hAnsiTheme="minorBidi" w:cstheme="minorBidi"/>
          <w:sz w:val="24"/>
          <w:szCs w:val="24"/>
          <w:lang w:val="en-GB"/>
        </w:rPr>
        <w:t xml:space="preserve"> </w:t>
      </w:r>
      <w:r>
        <w:rPr>
          <w:rFonts w:asciiTheme="minorBidi" w:eastAsia="TimesNewRomanPSMT" w:hAnsiTheme="minorBidi" w:cstheme="minorBidi"/>
          <w:sz w:val="24"/>
          <w:szCs w:val="24"/>
          <w:lang w:val="en-GB"/>
        </w:rPr>
        <w:t>has been investigated based on employing the</w:t>
      </w:r>
      <w:r w:rsidRPr="00596C91">
        <w:rPr>
          <w:rFonts w:asciiTheme="minorBidi" w:eastAsia="TimesNewRomanPSMT" w:hAnsiTheme="minorBidi" w:cstheme="minorBidi"/>
          <w:sz w:val="24"/>
          <w:szCs w:val="24"/>
          <w:lang w:val="en-GB"/>
        </w:rPr>
        <w:t xml:space="preserve"> Multi-condition Gaussian probabilistic Linear Discrim</w:t>
      </w:r>
      <w:r>
        <w:rPr>
          <w:rFonts w:asciiTheme="minorBidi" w:eastAsia="TimesNewRomanPSMT" w:hAnsiTheme="minorBidi" w:cstheme="minorBidi"/>
          <w:sz w:val="24"/>
          <w:szCs w:val="24"/>
          <w:lang w:val="en-GB"/>
        </w:rPr>
        <w:t>in</w:t>
      </w:r>
      <w:r w:rsidRPr="00596C91">
        <w:rPr>
          <w:rFonts w:asciiTheme="minorBidi" w:eastAsia="TimesNewRomanPSMT" w:hAnsiTheme="minorBidi" w:cstheme="minorBidi"/>
          <w:sz w:val="24"/>
          <w:szCs w:val="24"/>
          <w:lang w:val="en-GB"/>
        </w:rPr>
        <w:t>ant Analysis (MGPLDA) in mismatched</w:t>
      </w:r>
      <w:r>
        <w:rPr>
          <w:rFonts w:asciiTheme="minorBidi" w:eastAsia="TimesNewRomanPSMT" w:hAnsiTheme="minorBidi" w:cstheme="minorBidi"/>
          <w:sz w:val="24"/>
          <w:szCs w:val="24"/>
          <w:lang w:val="en-GB"/>
        </w:rPr>
        <w:t xml:space="preserve"> recording condition scenarios; and </w:t>
      </w:r>
      <w:r w:rsidRPr="00596C91">
        <w:rPr>
          <w:rFonts w:asciiTheme="minorBidi" w:eastAsia="TimesNewRomanPSMT" w:hAnsiTheme="minorBidi" w:cstheme="minorBidi"/>
          <w:sz w:val="24"/>
          <w:szCs w:val="24"/>
          <w:lang w:val="en-GB"/>
        </w:rPr>
        <w:t>particularly the benefits of using this classification strategy in terms of discrimination and calibration quality</w:t>
      </w:r>
      <w:r>
        <w:rPr>
          <w:rFonts w:asciiTheme="minorBidi" w:eastAsia="TimesNewRomanPSMT" w:hAnsiTheme="minorBidi" w:cstheme="minorBidi"/>
          <w:sz w:val="24"/>
          <w:szCs w:val="24"/>
          <w:lang w:val="en-GB"/>
        </w:rPr>
        <w:t xml:space="preserve"> </w:t>
      </w:r>
      <w:r w:rsidRPr="00806B38">
        <w:rPr>
          <w:rFonts w:asciiTheme="minorBidi" w:eastAsia="TimesNewRomanPSMT" w:hAnsiTheme="minorBidi" w:cstheme="minorBidi"/>
          <w:sz w:val="24"/>
          <w:szCs w:val="24"/>
          <w:lang w:val="en-GB"/>
        </w:rPr>
        <w:t>has been assessed</w:t>
      </w:r>
      <w:r w:rsidRPr="00596C91">
        <w:rPr>
          <w:rFonts w:asciiTheme="minorBidi" w:eastAsia="TimesNewRomanPSMT" w:hAnsiTheme="minorBidi" w:cstheme="minorBidi"/>
          <w:sz w:val="24"/>
          <w:szCs w:val="24"/>
          <w:lang w:val="en-GB"/>
        </w:rPr>
        <w:t>.</w:t>
      </w:r>
      <w:r>
        <w:rPr>
          <w:rFonts w:asciiTheme="minorBidi" w:eastAsia="TimesNewRomanPSMT" w:hAnsiTheme="minorBidi" w:cstheme="minorBidi"/>
          <w:sz w:val="24"/>
          <w:szCs w:val="24"/>
          <w:lang w:val="en-GB"/>
        </w:rPr>
        <w:t xml:space="preserve"> </w:t>
      </w:r>
      <w:r w:rsidRPr="00596C91">
        <w:rPr>
          <w:rFonts w:asciiTheme="minorBidi" w:eastAsia="TimesNewRomanPSMT" w:hAnsiTheme="minorBidi" w:cstheme="minorBidi"/>
          <w:sz w:val="24"/>
          <w:szCs w:val="24"/>
          <w:lang w:val="en-GB"/>
        </w:rPr>
        <w:t xml:space="preserve">Although the main limitation of multi-condition GPLDA models is related to the necessity to train multiple PLDA components, which increases computation complexity during the training and recognition stages, it has been shown that this strategy performs better in recording mismatch conditions compared to the baseline GPLDA system (better discrimination and overall calibration performance). </w:t>
      </w:r>
    </w:p>
    <w:p w:rsidR="0076051E" w:rsidRDefault="0076051E" w:rsidP="0076051E">
      <w:pPr>
        <w:pStyle w:val="ElsParagraph"/>
        <w:spacing w:before="120" w:line="276" w:lineRule="auto"/>
        <w:ind w:firstLine="851"/>
        <w:rPr>
          <w:rFonts w:asciiTheme="minorBidi" w:eastAsia="TimesNewRomanPSMT" w:hAnsiTheme="minorBidi" w:cstheme="minorBidi"/>
          <w:sz w:val="24"/>
          <w:szCs w:val="24"/>
          <w:lang w:val="en-GB"/>
        </w:rPr>
      </w:pPr>
      <w:r w:rsidRPr="00596C91">
        <w:rPr>
          <w:rFonts w:asciiTheme="minorBidi" w:eastAsia="TimesNewRomanPSMT" w:hAnsiTheme="minorBidi" w:cstheme="minorBidi"/>
          <w:sz w:val="24"/>
          <w:szCs w:val="24"/>
          <w:lang w:val="en-GB"/>
        </w:rPr>
        <w:t xml:space="preserve">The obtained results </w:t>
      </w:r>
      <w:r w:rsidRPr="00806B38">
        <w:rPr>
          <w:rFonts w:asciiTheme="minorBidi" w:eastAsia="TimesNewRomanPSMT" w:hAnsiTheme="minorBidi" w:cstheme="minorBidi"/>
          <w:sz w:val="24"/>
          <w:szCs w:val="24"/>
          <w:lang w:val="en-GB"/>
        </w:rPr>
        <w:t>have shown</w:t>
      </w:r>
      <w:r w:rsidRPr="00596C91">
        <w:rPr>
          <w:rFonts w:asciiTheme="minorBidi" w:eastAsia="TimesNewRomanPSMT" w:hAnsiTheme="minorBidi" w:cstheme="minorBidi"/>
          <w:sz w:val="24"/>
          <w:szCs w:val="24"/>
          <w:lang w:val="en-GB"/>
        </w:rPr>
        <w:t xml:space="preserve"> also the effect of the employed automatic recognition strategy on the LR values calculated for the same case using both approaches actually used to evaluate the streng</w:t>
      </w:r>
      <w:r>
        <w:rPr>
          <w:rFonts w:asciiTheme="minorBidi" w:eastAsia="TimesNewRomanPSMT" w:hAnsiTheme="minorBidi" w:cstheme="minorBidi"/>
          <w:sz w:val="24"/>
          <w:szCs w:val="24"/>
          <w:lang w:val="en-GB"/>
        </w:rPr>
        <w:t xml:space="preserve">th of the evidence in forensics: </w:t>
      </w:r>
      <w:r w:rsidRPr="00596C91">
        <w:rPr>
          <w:rFonts w:asciiTheme="minorBidi" w:eastAsia="TimesNewRomanPSMT" w:hAnsiTheme="minorBidi" w:cstheme="minorBidi"/>
          <w:sz w:val="24"/>
          <w:szCs w:val="24"/>
          <w:lang w:val="en-GB"/>
        </w:rPr>
        <w:t xml:space="preserve">suspect-specific </w:t>
      </w:r>
      <w:r>
        <w:rPr>
          <w:rFonts w:asciiTheme="minorBidi" w:eastAsia="TimesNewRomanPSMT" w:hAnsiTheme="minorBidi" w:cstheme="minorBidi"/>
          <w:sz w:val="24"/>
          <w:szCs w:val="24"/>
          <w:lang w:val="en-GB"/>
        </w:rPr>
        <w:t xml:space="preserve">(SS) </w:t>
      </w:r>
      <w:r w:rsidRPr="00596C91">
        <w:rPr>
          <w:rFonts w:asciiTheme="minorBidi" w:eastAsia="TimesNewRomanPSMT" w:hAnsiTheme="minorBidi" w:cstheme="minorBidi"/>
          <w:sz w:val="24"/>
          <w:szCs w:val="24"/>
          <w:lang w:val="en-GB"/>
        </w:rPr>
        <w:t>and suspect-independ</w:t>
      </w:r>
      <w:r>
        <w:rPr>
          <w:rFonts w:asciiTheme="minorBidi" w:eastAsia="TimesNewRomanPSMT" w:hAnsiTheme="minorBidi" w:cstheme="minorBidi"/>
          <w:sz w:val="24"/>
          <w:szCs w:val="24"/>
          <w:lang w:val="en-GB"/>
        </w:rPr>
        <w:t xml:space="preserve">ent </w:t>
      </w:r>
      <w:r w:rsidRPr="00596C91">
        <w:rPr>
          <w:rFonts w:asciiTheme="minorBidi" w:eastAsia="TimesNewRomanPSMT" w:hAnsiTheme="minorBidi" w:cstheme="minorBidi"/>
          <w:sz w:val="24"/>
          <w:szCs w:val="24"/>
          <w:lang w:val="en-GB"/>
        </w:rPr>
        <w:t>(SI). In this context</w:t>
      </w:r>
      <w:r>
        <w:rPr>
          <w:rFonts w:asciiTheme="minorBidi" w:eastAsia="TimesNewRomanPSMT" w:hAnsiTheme="minorBidi" w:cstheme="minorBidi"/>
          <w:sz w:val="24"/>
          <w:szCs w:val="24"/>
          <w:lang w:val="en-GB"/>
        </w:rPr>
        <w:t>,</w:t>
      </w:r>
      <w:r w:rsidRPr="00596C91">
        <w:rPr>
          <w:rFonts w:asciiTheme="minorBidi" w:eastAsia="TimesNewRomanPSMT" w:hAnsiTheme="minorBidi" w:cstheme="minorBidi"/>
          <w:sz w:val="24"/>
          <w:szCs w:val="24"/>
          <w:lang w:val="en-GB"/>
        </w:rPr>
        <w:t xml:space="preserve"> it </w:t>
      </w:r>
      <w:r w:rsidRPr="00806B38">
        <w:rPr>
          <w:rFonts w:asciiTheme="minorBidi" w:eastAsia="TimesNewRomanPSMT" w:hAnsiTheme="minorBidi" w:cstheme="minorBidi"/>
          <w:sz w:val="24"/>
          <w:szCs w:val="24"/>
          <w:lang w:val="en-GB"/>
        </w:rPr>
        <w:t>has been concluded</w:t>
      </w:r>
      <w:r>
        <w:rPr>
          <w:rFonts w:asciiTheme="minorBidi" w:eastAsia="TimesNewRomanPSMT" w:hAnsiTheme="minorBidi" w:cstheme="minorBidi"/>
          <w:sz w:val="24"/>
          <w:szCs w:val="24"/>
          <w:lang w:val="en-GB"/>
        </w:rPr>
        <w:t xml:space="preserve"> that using</w:t>
      </w:r>
      <w:r w:rsidRPr="00596C91">
        <w:rPr>
          <w:rFonts w:asciiTheme="minorBidi" w:eastAsia="TimesNewRomanPSMT" w:hAnsiTheme="minorBidi" w:cstheme="minorBidi"/>
          <w:sz w:val="24"/>
          <w:szCs w:val="24"/>
          <w:lang w:val="en-GB"/>
        </w:rPr>
        <w:t xml:space="preserve"> different approaches</w:t>
      </w:r>
      <w:r>
        <w:rPr>
          <w:rFonts w:asciiTheme="minorBidi" w:eastAsia="TimesNewRomanPSMT" w:hAnsiTheme="minorBidi" w:cstheme="minorBidi"/>
          <w:sz w:val="24"/>
          <w:szCs w:val="24"/>
          <w:lang w:val="en-GB"/>
        </w:rPr>
        <w:t xml:space="preserve"> </w:t>
      </w:r>
      <w:r w:rsidRPr="00596C91">
        <w:rPr>
          <w:rFonts w:asciiTheme="minorBidi" w:eastAsia="TimesNewRomanPSMT" w:hAnsiTheme="minorBidi" w:cstheme="minorBidi"/>
          <w:sz w:val="24"/>
          <w:szCs w:val="24"/>
          <w:lang w:val="en-GB"/>
        </w:rPr>
        <w:t xml:space="preserve">to map from score values to LR values may lead to completely different results. </w:t>
      </w:r>
      <w:r w:rsidRPr="00806B38">
        <w:rPr>
          <w:rFonts w:asciiTheme="minorBidi" w:eastAsia="TimesNewRomanPSMT" w:hAnsiTheme="minorBidi" w:cstheme="minorBidi"/>
          <w:sz w:val="24"/>
          <w:szCs w:val="24"/>
          <w:lang w:val="en-GB"/>
        </w:rPr>
        <w:t>Furthermore</w:t>
      </w:r>
      <w:r w:rsidRPr="00596C91">
        <w:rPr>
          <w:rFonts w:asciiTheme="minorBidi" w:eastAsia="TimesNewRomanPSMT" w:hAnsiTheme="minorBidi" w:cstheme="minorBidi"/>
          <w:sz w:val="24"/>
          <w:szCs w:val="24"/>
          <w:lang w:val="en-GB"/>
        </w:rPr>
        <w:t xml:space="preserve">, the use of a different recognition </w:t>
      </w:r>
      <w:r>
        <w:rPr>
          <w:rFonts w:asciiTheme="minorBidi" w:eastAsia="TimesNewRomanPSMT" w:hAnsiTheme="minorBidi" w:cstheme="minorBidi"/>
          <w:sz w:val="24"/>
          <w:szCs w:val="24"/>
          <w:lang w:val="en-GB"/>
        </w:rPr>
        <w:t xml:space="preserve">methods (GPLDA or MGPLDA for example) </w:t>
      </w:r>
      <w:r w:rsidRPr="00596C91">
        <w:rPr>
          <w:rFonts w:asciiTheme="minorBidi" w:eastAsia="TimesNewRomanPSMT" w:hAnsiTheme="minorBidi" w:cstheme="minorBidi"/>
          <w:sz w:val="24"/>
          <w:szCs w:val="24"/>
          <w:lang w:val="en-GB"/>
        </w:rPr>
        <w:t>to compute scores, can also slightly influence the difference between the suspect-specific</w:t>
      </w:r>
      <w:r>
        <w:rPr>
          <w:rFonts w:asciiTheme="minorBidi" w:eastAsia="TimesNewRomanPSMT" w:hAnsiTheme="minorBidi" w:cstheme="minorBidi"/>
          <w:sz w:val="24"/>
          <w:szCs w:val="24"/>
          <w:lang w:val="en-GB"/>
        </w:rPr>
        <w:t xml:space="preserve"> (SS) </w:t>
      </w:r>
      <w:r w:rsidRPr="00596C91">
        <w:rPr>
          <w:rFonts w:asciiTheme="minorBidi" w:eastAsia="TimesNewRomanPSMT" w:hAnsiTheme="minorBidi" w:cstheme="minorBidi"/>
          <w:sz w:val="24"/>
          <w:szCs w:val="24"/>
          <w:lang w:val="en-GB"/>
        </w:rPr>
        <w:t>and suspect-independ</w:t>
      </w:r>
      <w:r>
        <w:rPr>
          <w:rFonts w:asciiTheme="minorBidi" w:eastAsia="TimesNewRomanPSMT" w:hAnsiTheme="minorBidi" w:cstheme="minorBidi"/>
          <w:sz w:val="24"/>
          <w:szCs w:val="24"/>
          <w:lang w:val="en-GB"/>
        </w:rPr>
        <w:t xml:space="preserve">ent (SI) </w:t>
      </w:r>
      <w:r w:rsidRPr="00806B38">
        <w:rPr>
          <w:rFonts w:asciiTheme="minorBidi" w:eastAsia="TimesNewRomanPSMT" w:hAnsiTheme="minorBidi" w:cstheme="minorBidi"/>
          <w:sz w:val="24"/>
          <w:szCs w:val="24"/>
          <w:lang w:val="en-GB"/>
        </w:rPr>
        <w:t>approaches</w:t>
      </w:r>
      <w:r>
        <w:rPr>
          <w:rFonts w:asciiTheme="minorBidi" w:eastAsia="TimesNewRomanPSMT" w:hAnsiTheme="minorBidi" w:cstheme="minorBidi"/>
          <w:sz w:val="24"/>
          <w:szCs w:val="24"/>
          <w:lang w:val="en-GB"/>
        </w:rPr>
        <w:t xml:space="preserve"> of LR computation.</w:t>
      </w:r>
    </w:p>
    <w:p w:rsidR="0076051E" w:rsidRDefault="0076051E" w:rsidP="0076051E">
      <w:pPr>
        <w:pStyle w:val="ElsParagraph"/>
        <w:spacing w:before="120" w:line="276" w:lineRule="auto"/>
        <w:ind w:firstLine="0"/>
        <w:rPr>
          <w:rFonts w:asciiTheme="minorBidi" w:eastAsia="TimesNewRomanPSMT" w:hAnsiTheme="minorBidi" w:cstheme="minorBidi"/>
          <w:sz w:val="24"/>
          <w:szCs w:val="24"/>
          <w:lang w:val="en-GB"/>
        </w:rPr>
      </w:pPr>
    </w:p>
    <w:sectPr w:rsidR="0076051E" w:rsidSect="0023035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CMBX12">
    <w:panose1 w:val="00000000000000000000"/>
    <w:charset w:val="00"/>
    <w:family w:val="auto"/>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6051E"/>
    <w:rsid w:val="000174D7"/>
    <w:rsid w:val="000F3060"/>
    <w:rsid w:val="0019152F"/>
    <w:rsid w:val="00230353"/>
    <w:rsid w:val="00300DDA"/>
    <w:rsid w:val="00372471"/>
    <w:rsid w:val="00407C7E"/>
    <w:rsid w:val="0076051E"/>
    <w:rsid w:val="007D5D5A"/>
    <w:rsid w:val="00A33A18"/>
    <w:rsid w:val="00B8368C"/>
    <w:rsid w:val="00F22033"/>
    <w:rsid w:val="00FB393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51E"/>
    <w:pPr>
      <w:spacing w:after="0" w:line="240" w:lineRule="auto"/>
    </w:pPr>
    <w:rPr>
      <w:rFonts w:ascii="Times New Roman" w:eastAsia="Times New Roman" w:hAnsi="Times New Roman" w:cs="Times New Roman"/>
      <w:sz w:val="24"/>
      <w:szCs w:val="24"/>
      <w:lang w:val="fr-FR" w:eastAsia="fr-FR"/>
    </w:rPr>
  </w:style>
  <w:style w:type="paragraph" w:styleId="Titre1">
    <w:name w:val="heading 1"/>
    <w:basedOn w:val="Normal"/>
    <w:next w:val="Normal"/>
    <w:link w:val="Titre1Car"/>
    <w:uiPriority w:val="9"/>
    <w:rsid w:val="00372471"/>
    <w:pPr>
      <w:keepNext/>
      <w:keepLines/>
      <w:spacing w:before="240" w:after="60" w:line="276" w:lineRule="auto"/>
      <w:outlineLvl w:val="0"/>
    </w:pPr>
    <w:rPr>
      <w:rFonts w:ascii="Arial" w:eastAsiaTheme="majorEastAsia" w:hAnsi="Arial" w:cstheme="majorBidi"/>
      <w:b/>
      <w:bCs/>
      <w:color w:val="365F91" w:themeColor="accent1" w:themeShade="BF"/>
      <w:sz w:val="28"/>
      <w:szCs w:val="28"/>
      <w:lang w:val="en-US" w:eastAsia="en-US"/>
    </w:rPr>
  </w:style>
  <w:style w:type="paragraph" w:styleId="Titre2">
    <w:name w:val="heading 2"/>
    <w:basedOn w:val="Normal"/>
    <w:next w:val="Normal"/>
    <w:link w:val="Titre2Car"/>
    <w:uiPriority w:val="9"/>
    <w:unhideWhenUsed/>
    <w:rsid w:val="00372471"/>
    <w:pPr>
      <w:keepNext/>
      <w:keepLines/>
      <w:spacing w:before="240" w:after="60" w:line="276" w:lineRule="auto"/>
      <w:outlineLvl w:val="1"/>
    </w:pPr>
    <w:rPr>
      <w:rFonts w:asciiTheme="majorHAnsi" w:eastAsiaTheme="majorEastAsia" w:hAnsiTheme="majorHAnsi" w:cstheme="majorBidi"/>
      <w:b/>
      <w:bCs/>
      <w:i/>
      <w:color w:val="4F81BD" w:themeColor="accent1"/>
      <w:szCs w:val="26"/>
      <w:lang w:val="en-US" w:eastAsia="en-US"/>
    </w:rPr>
  </w:style>
  <w:style w:type="paragraph" w:styleId="Titre3">
    <w:name w:val="heading 3"/>
    <w:basedOn w:val="Normal"/>
    <w:next w:val="Normal"/>
    <w:link w:val="Titre3Car"/>
    <w:uiPriority w:val="9"/>
    <w:semiHidden/>
    <w:unhideWhenUsed/>
    <w:rsid w:val="00372471"/>
    <w:pPr>
      <w:keepNext/>
      <w:keepLines/>
      <w:spacing w:before="200" w:line="276" w:lineRule="auto"/>
      <w:outlineLvl w:val="2"/>
    </w:pPr>
    <w:rPr>
      <w:rFonts w:ascii="Arial" w:eastAsiaTheme="majorEastAsia" w:hAnsi="Arial" w:cstheme="majorBidi"/>
      <w:b/>
      <w:bCs/>
      <w:color w:val="4F81BD" w:themeColor="accent1"/>
      <w:sz w:val="22"/>
      <w:szCs w:val="22"/>
      <w:lang w:val="en-US"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72471"/>
    <w:rPr>
      <w:rFonts w:ascii="Arial" w:eastAsiaTheme="majorEastAsia" w:hAnsi="Arial" w:cstheme="majorBidi"/>
      <w:b/>
      <w:bCs/>
      <w:color w:val="365F91" w:themeColor="accent1" w:themeShade="BF"/>
      <w:sz w:val="28"/>
      <w:szCs w:val="28"/>
    </w:rPr>
  </w:style>
  <w:style w:type="character" w:customStyle="1" w:styleId="Titre2Car">
    <w:name w:val="Titre 2 Car"/>
    <w:basedOn w:val="Policepardfaut"/>
    <w:link w:val="Titre2"/>
    <w:uiPriority w:val="9"/>
    <w:rsid w:val="00372471"/>
    <w:rPr>
      <w:rFonts w:asciiTheme="majorHAnsi" w:eastAsiaTheme="majorEastAsia" w:hAnsiTheme="majorHAnsi" w:cstheme="majorBidi"/>
      <w:b/>
      <w:bCs/>
      <w:i/>
      <w:color w:val="4F81BD" w:themeColor="accent1"/>
      <w:sz w:val="24"/>
      <w:szCs w:val="26"/>
    </w:rPr>
  </w:style>
  <w:style w:type="character" w:customStyle="1" w:styleId="Titre3Car">
    <w:name w:val="Titre 3 Car"/>
    <w:basedOn w:val="Policepardfaut"/>
    <w:link w:val="Titre3"/>
    <w:uiPriority w:val="9"/>
    <w:semiHidden/>
    <w:rsid w:val="00372471"/>
    <w:rPr>
      <w:rFonts w:ascii="Arial" w:eastAsiaTheme="majorEastAsia" w:hAnsi="Arial" w:cstheme="majorBidi"/>
      <w:b/>
      <w:bCs/>
      <w:color w:val="4F81BD" w:themeColor="accent1"/>
    </w:rPr>
  </w:style>
  <w:style w:type="paragraph" w:customStyle="1" w:styleId="ElsParagraph">
    <w:name w:val="Els_Paragraph"/>
    <w:rsid w:val="0076051E"/>
    <w:pPr>
      <w:spacing w:after="120" w:line="220" w:lineRule="exact"/>
      <w:ind w:firstLine="230"/>
      <w:jc w:val="both"/>
    </w:pPr>
    <w:rPr>
      <w:rFonts w:ascii="Times New Roman" w:eastAsia="Times New Roman" w:hAnsi="Times New Roman" w:cs="Times New Roman"/>
      <w:sz w:val="19"/>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664</Words>
  <Characters>3788</Characters>
  <Application>Microsoft Office Word</Application>
  <DocSecurity>0</DocSecurity>
  <Lines>31</Lines>
  <Paragraphs>8</Paragraphs>
  <ScaleCrop>false</ScaleCrop>
  <Company/>
  <LinksUpToDate>false</LinksUpToDate>
  <CharactersWithSpaces>4444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dc:creator>
  <cp:lastModifiedBy>traitement</cp:lastModifiedBy>
  <cp:revision>4</cp:revision>
  <dcterms:created xsi:type="dcterms:W3CDTF">2016-12-19T18:13:00Z</dcterms:created>
  <dcterms:modified xsi:type="dcterms:W3CDTF">2017-05-17T09:26:00Z</dcterms:modified>
</cp:coreProperties>
</file>