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1B4" w:rsidRDefault="00EF5D08">
      <w:r>
        <w:t>Resumé</w:t>
      </w:r>
    </w:p>
    <w:p w:rsidR="00EF5D08" w:rsidRDefault="00EF5D08" w:rsidP="00EF5D08">
      <w:r>
        <w:t>Le travail présenté dans ce mémoire décrit d'une manière détaillée les cartes auto organisatrices de Kohonen, certaines de leurs applications et leurs principales variantes.  Ces cartes appartiennent à la famille des réseaux à apprentissage non supervisé et plus précisément à la famille des réseaux à compétition. Le réseau est constitué de deux couches : une couche d'entrée (vecteurs d'entrée) et une couche de sortie (les neurones). Les neurones sont représentés par des vecteurs code (des poids).</w:t>
      </w:r>
    </w:p>
    <w:p w:rsidR="00EF5D08" w:rsidRDefault="00EF5D08" w:rsidP="00EF5D08">
      <w:r>
        <w:t>L'algorithme qui régit ces cartes est itératif. Son initialisation consiste à associer à chaque classe un vecteur code choisi de manière aléatoire. A chaque étape de l'algorithme, une observation est choisie au hasard, elle est comparée à tous les vecteurs codes à l'aide d'une distance donnée a priori. Le vecteur code représentant la plus petite distance déterminera la classe gagnante. On rapproche alors de l'observation les codes de la classe gagnante et des classes voisines.</w:t>
      </w:r>
    </w:p>
    <w:p w:rsidR="00EF5D08" w:rsidRDefault="00EF5D08" w:rsidP="00EF5D08">
      <w:r>
        <w:t>Deux  applications de l'algorithme de Kohonen ont été faites en utilisant des données du PNUD relatives à 118 pays et les données des 48 wilayas d'Algérie en se servant des résultats du RGPH de l'année 1998.</w:t>
      </w:r>
    </w:p>
    <w:sectPr w:rsidR="00EF5D08" w:rsidSect="00EC61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F5D08"/>
    <w:rsid w:val="00EC61B4"/>
    <w:rsid w:val="00EF5D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61B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</cp:revision>
  <dcterms:created xsi:type="dcterms:W3CDTF">2015-06-29T12:10:00Z</dcterms:created>
  <dcterms:modified xsi:type="dcterms:W3CDTF">2015-06-29T12:11:00Z</dcterms:modified>
</cp:coreProperties>
</file>