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329F" w:rsidRPr="00501D8A" w:rsidRDefault="0057329F" w:rsidP="0057329F">
      <w:pPr>
        <w:pBdr>
          <w:top w:val="single" w:sz="4" w:space="1" w:color="FFFFFF"/>
          <w:left w:val="single" w:sz="4" w:space="4" w:color="FFFFFF"/>
          <w:bottom w:val="single" w:sz="4" w:space="1" w:color="FFFFFF"/>
          <w:right w:val="single" w:sz="4" w:space="4" w:color="FFFFFF"/>
        </w:pBdr>
        <w:spacing w:after="0" w:line="240" w:lineRule="auto"/>
        <w:jc w:val="center"/>
        <w:rPr>
          <w:rFonts w:ascii="Times New Roman" w:hAnsi="Times New Roman" w:cs="Times New Roman"/>
          <w:b/>
          <w:bCs/>
          <w:iCs/>
          <w:color w:val="000000"/>
          <w:sz w:val="32"/>
          <w:szCs w:val="32"/>
        </w:rPr>
      </w:pPr>
      <w:r w:rsidRPr="00501D8A">
        <w:rPr>
          <w:rFonts w:ascii="Times New Roman" w:hAnsi="Times New Roman" w:cs="Times New Roman"/>
          <w:b/>
          <w:bCs/>
          <w:iCs/>
          <w:color w:val="000000"/>
          <w:sz w:val="32"/>
          <w:szCs w:val="32"/>
        </w:rPr>
        <w:t xml:space="preserve">POLYMERES DE TREMPE : POLYETHYLENE GLYCOL ET </w:t>
      </w:r>
      <w:proofErr w:type="gramStart"/>
      <w:r w:rsidRPr="00501D8A">
        <w:rPr>
          <w:rFonts w:ascii="Times New Roman" w:hAnsi="Times New Roman" w:cs="Times New Roman"/>
          <w:b/>
          <w:bCs/>
          <w:iCs/>
          <w:color w:val="000000"/>
          <w:sz w:val="32"/>
          <w:szCs w:val="32"/>
        </w:rPr>
        <w:t>POLY</w:t>
      </w:r>
      <w:r>
        <w:rPr>
          <w:rFonts w:ascii="Times New Roman" w:hAnsi="Times New Roman" w:cs="Times New Roman"/>
          <w:b/>
          <w:bCs/>
          <w:iCs/>
          <w:color w:val="000000"/>
          <w:sz w:val="32"/>
          <w:szCs w:val="32"/>
        </w:rPr>
        <w:t>(</w:t>
      </w:r>
      <w:proofErr w:type="gramEnd"/>
      <w:r w:rsidRPr="00501D8A">
        <w:rPr>
          <w:rFonts w:ascii="Times New Roman" w:hAnsi="Times New Roman" w:cs="Times New Roman"/>
          <w:b/>
          <w:bCs/>
          <w:iCs/>
          <w:color w:val="000000"/>
          <w:sz w:val="32"/>
          <w:szCs w:val="32"/>
        </w:rPr>
        <w:t xml:space="preserve"> N</w:t>
      </w:r>
      <w:r>
        <w:rPr>
          <w:rFonts w:ascii="Times New Roman" w:hAnsi="Times New Roman" w:cs="Times New Roman"/>
          <w:b/>
          <w:bCs/>
          <w:iCs/>
          <w:color w:val="000000"/>
          <w:sz w:val="32"/>
          <w:szCs w:val="32"/>
        </w:rPr>
        <w:t>-VINYL-</w:t>
      </w:r>
      <w:r w:rsidRPr="00501D8A">
        <w:rPr>
          <w:rFonts w:ascii="Times New Roman" w:hAnsi="Times New Roman" w:cs="Times New Roman"/>
          <w:b/>
          <w:bCs/>
          <w:iCs/>
          <w:color w:val="000000"/>
          <w:sz w:val="32"/>
          <w:szCs w:val="32"/>
        </w:rPr>
        <w:t>2-PYRROLIDONE</w:t>
      </w:r>
      <w:r>
        <w:rPr>
          <w:rFonts w:ascii="Times New Roman" w:hAnsi="Times New Roman" w:cs="Times New Roman"/>
          <w:b/>
          <w:bCs/>
          <w:iCs/>
          <w:color w:val="000000"/>
          <w:sz w:val="32"/>
          <w:szCs w:val="32"/>
        </w:rPr>
        <w:t>).</w:t>
      </w:r>
      <w:r w:rsidRPr="00501D8A">
        <w:rPr>
          <w:rFonts w:ascii="Times New Roman" w:hAnsi="Times New Roman" w:cs="Times New Roman"/>
          <w:b/>
          <w:bCs/>
          <w:iCs/>
          <w:color w:val="000000"/>
          <w:sz w:val="32"/>
          <w:szCs w:val="32"/>
        </w:rPr>
        <w:t xml:space="preserve"> OPTIMISATION DU POUVOIR TREMPANT</w:t>
      </w:r>
    </w:p>
    <w:p w:rsidR="0057329F" w:rsidRPr="00AB79A7" w:rsidRDefault="0057329F" w:rsidP="0057329F">
      <w:pPr>
        <w:pBdr>
          <w:top w:val="single" w:sz="4" w:space="1" w:color="FFFFFF"/>
          <w:left w:val="single" w:sz="4" w:space="4" w:color="FFFFFF"/>
          <w:bottom w:val="single" w:sz="4" w:space="1" w:color="FFFFFF"/>
          <w:right w:val="single" w:sz="4" w:space="4" w:color="FFFFFF"/>
        </w:pBdr>
        <w:spacing w:after="0" w:line="240" w:lineRule="auto"/>
        <w:jc w:val="center"/>
        <w:rPr>
          <w:rFonts w:ascii="Times New Roman" w:hAnsi="Times New Roman" w:cs="Times New Roman"/>
          <w:b/>
          <w:bCs/>
          <w:i/>
          <w:iCs/>
          <w:color w:val="000000"/>
        </w:rPr>
      </w:pPr>
    </w:p>
    <w:p w:rsidR="0057329F" w:rsidRPr="00C973E5" w:rsidRDefault="0057329F" w:rsidP="0057329F">
      <w:pPr>
        <w:pBdr>
          <w:top w:val="single" w:sz="4" w:space="1" w:color="FFFFFF"/>
          <w:left w:val="single" w:sz="4" w:space="4" w:color="FFFFFF"/>
          <w:bottom w:val="single" w:sz="4" w:space="1" w:color="FFFFFF"/>
          <w:right w:val="single" w:sz="4" w:space="4" w:color="FFFFFF"/>
        </w:pBdr>
        <w:spacing w:after="0" w:line="240" w:lineRule="auto"/>
        <w:jc w:val="center"/>
        <w:rPr>
          <w:rFonts w:ascii="Times New Roman" w:hAnsi="Times New Roman" w:cs="Times New Roman"/>
          <w:b/>
          <w:i/>
          <w:iCs/>
          <w:color w:val="000000"/>
          <w:sz w:val="24"/>
          <w:szCs w:val="24"/>
        </w:rPr>
      </w:pPr>
      <w:r w:rsidRPr="00C973E5">
        <w:rPr>
          <w:rFonts w:ascii="Times New Roman" w:hAnsi="Times New Roman" w:cs="Times New Roman"/>
          <w:color w:val="000000"/>
          <w:sz w:val="24"/>
          <w:szCs w:val="24"/>
        </w:rPr>
        <w:t>Présenté par</w:t>
      </w:r>
      <w:r w:rsidRPr="00C973E5">
        <w:rPr>
          <w:rFonts w:ascii="Times New Roman" w:hAnsi="Times New Roman" w:cs="Times New Roman"/>
          <w:b/>
          <w:i/>
          <w:iCs/>
          <w:color w:val="000000"/>
          <w:sz w:val="24"/>
          <w:szCs w:val="24"/>
        </w:rPr>
        <w:t xml:space="preserve"> : </w:t>
      </w:r>
      <w:r w:rsidRPr="00C973E5">
        <w:rPr>
          <w:rFonts w:ascii="Times New Roman" w:eastAsia="Calibri" w:hAnsi="Times New Roman" w:cs="Times New Roman"/>
          <w:i/>
          <w:iCs/>
          <w:sz w:val="24"/>
          <w:szCs w:val="24"/>
          <w:u w:val="single"/>
        </w:rPr>
        <w:t>M</w:t>
      </w:r>
      <w:r w:rsidRPr="00C973E5">
        <w:rPr>
          <w:rFonts w:ascii="Times New Roman" w:eastAsia="Calibri" w:hAnsi="Times New Roman" w:cs="Times New Roman"/>
          <w:i/>
          <w:iCs/>
          <w:sz w:val="24"/>
          <w:szCs w:val="24"/>
          <w:u w:val="single"/>
          <w:vertAlign w:val="superscript"/>
        </w:rPr>
        <w:t>me</w:t>
      </w:r>
      <w:r w:rsidRPr="00C973E5">
        <w:rPr>
          <w:rFonts w:ascii="Times New Roman" w:eastAsia="Calibri" w:hAnsi="Times New Roman" w:cs="Times New Roman"/>
          <w:sz w:val="24"/>
          <w:szCs w:val="24"/>
          <w:u w:val="single"/>
        </w:rPr>
        <w:t xml:space="preserve"> </w:t>
      </w:r>
      <w:proofErr w:type="spellStart"/>
      <w:r w:rsidRPr="00C973E5">
        <w:rPr>
          <w:rFonts w:ascii="Times New Roman" w:hAnsi="Times New Roman" w:cs="Times New Roman"/>
          <w:sz w:val="24"/>
          <w:szCs w:val="24"/>
          <w:u w:val="single"/>
        </w:rPr>
        <w:t>Koudil</w:t>
      </w:r>
      <w:proofErr w:type="spellEnd"/>
      <w:r w:rsidRPr="00C973E5">
        <w:rPr>
          <w:rFonts w:ascii="Times New Roman" w:eastAsia="Calibri" w:hAnsi="Times New Roman" w:cs="Times New Roman"/>
          <w:sz w:val="24"/>
          <w:szCs w:val="24"/>
          <w:u w:val="single"/>
        </w:rPr>
        <w:t>-</w:t>
      </w:r>
      <w:r w:rsidRPr="00C973E5">
        <w:rPr>
          <w:rFonts w:ascii="Times New Roman" w:hAnsi="Times New Roman" w:cs="Times New Roman"/>
          <w:sz w:val="24"/>
          <w:szCs w:val="24"/>
          <w:u w:val="single"/>
        </w:rPr>
        <w:t xml:space="preserve"> Karoun </w:t>
      </w:r>
      <w:proofErr w:type="spellStart"/>
      <w:r w:rsidRPr="00C973E5">
        <w:rPr>
          <w:rFonts w:ascii="Times New Roman" w:hAnsi="Times New Roman" w:cs="Times New Roman"/>
          <w:sz w:val="24"/>
          <w:szCs w:val="24"/>
          <w:u w:val="single"/>
        </w:rPr>
        <w:t>Zahia</w:t>
      </w:r>
      <w:proofErr w:type="spellEnd"/>
    </w:p>
    <w:p w:rsidR="0057329F" w:rsidRDefault="0057329F" w:rsidP="0057329F">
      <w:pPr>
        <w:pBdr>
          <w:top w:val="single" w:sz="4" w:space="1" w:color="FFFFFF"/>
          <w:left w:val="single" w:sz="4" w:space="4" w:color="FFFFFF"/>
          <w:bottom w:val="single" w:sz="4" w:space="1" w:color="FFFFFF"/>
          <w:right w:val="single" w:sz="4" w:space="4" w:color="FFFFFF"/>
        </w:pBdr>
        <w:spacing w:after="0" w:line="240" w:lineRule="auto"/>
        <w:jc w:val="center"/>
        <w:rPr>
          <w:rFonts w:ascii="Times New Roman" w:hAnsi="Times New Roman" w:cs="Times New Roman"/>
          <w:b/>
          <w:bCs/>
          <w:iCs/>
          <w:color w:val="000000"/>
          <w:sz w:val="24"/>
          <w:szCs w:val="24"/>
        </w:rPr>
      </w:pPr>
      <w:r w:rsidRPr="00C973E5">
        <w:rPr>
          <w:rFonts w:ascii="Times New Roman" w:hAnsi="Times New Roman" w:cs="Times New Roman"/>
          <w:b/>
          <w:bCs/>
          <w:iCs/>
          <w:color w:val="000000"/>
          <w:sz w:val="24"/>
          <w:szCs w:val="24"/>
        </w:rPr>
        <w:t>LEPCMAE, Faculté de chimie-USTHB</w:t>
      </w:r>
    </w:p>
    <w:p w:rsidR="0057329F" w:rsidRPr="00C973E5" w:rsidRDefault="0057329F" w:rsidP="0057329F">
      <w:pPr>
        <w:pBdr>
          <w:top w:val="single" w:sz="4" w:space="1" w:color="FFFFFF"/>
          <w:left w:val="single" w:sz="4" w:space="4" w:color="FFFFFF"/>
          <w:bottom w:val="single" w:sz="4" w:space="1" w:color="FFFFFF"/>
          <w:right w:val="single" w:sz="4" w:space="4" w:color="FFFFFF"/>
        </w:pBdr>
        <w:spacing w:after="0" w:line="240" w:lineRule="auto"/>
        <w:jc w:val="center"/>
        <w:rPr>
          <w:rFonts w:ascii="Times New Roman" w:hAnsi="Times New Roman" w:cs="Times New Roman"/>
          <w:b/>
          <w:bCs/>
          <w:iCs/>
          <w:color w:val="000000"/>
          <w:sz w:val="24"/>
          <w:szCs w:val="24"/>
        </w:rPr>
      </w:pPr>
    </w:p>
    <w:p w:rsidR="0057329F" w:rsidRPr="00C973E5" w:rsidRDefault="0057329F" w:rsidP="0057329F">
      <w:pPr>
        <w:pBdr>
          <w:top w:val="thinThickThinSmallGap" w:sz="18" w:space="0" w:color="auto"/>
          <w:left w:val="thinThickThinSmallGap" w:sz="18" w:space="4" w:color="auto"/>
          <w:bottom w:val="thinThickThinSmallGap" w:sz="18" w:space="10" w:color="auto"/>
          <w:right w:val="thinThickThinSmallGap" w:sz="18" w:space="11" w:color="auto"/>
        </w:pBdr>
        <w:spacing w:after="0" w:line="240" w:lineRule="auto"/>
        <w:jc w:val="both"/>
        <w:rPr>
          <w:rFonts w:ascii="Times New Roman" w:hAnsi="Times New Roman" w:cs="Times New Roman"/>
          <w:sz w:val="24"/>
          <w:szCs w:val="24"/>
        </w:rPr>
      </w:pPr>
    </w:p>
    <w:p w:rsidR="0057329F" w:rsidRPr="00C973E5" w:rsidRDefault="0057329F" w:rsidP="0057329F">
      <w:pPr>
        <w:pBdr>
          <w:top w:val="thinThickThinSmallGap" w:sz="18" w:space="0" w:color="auto"/>
          <w:left w:val="thinThickThinSmallGap" w:sz="18" w:space="4" w:color="auto"/>
          <w:bottom w:val="thinThickThinSmallGap" w:sz="18" w:space="10" w:color="auto"/>
          <w:right w:val="thinThickThinSmallGap" w:sz="18" w:space="11" w:color="auto"/>
        </w:pBdr>
        <w:spacing w:after="0" w:line="240" w:lineRule="auto"/>
        <w:jc w:val="both"/>
        <w:rPr>
          <w:rStyle w:val="hps"/>
          <w:rFonts w:ascii="Times New Roman" w:hAnsi="Times New Roman" w:cs="Times New Roman"/>
          <w:sz w:val="24"/>
          <w:szCs w:val="24"/>
        </w:rPr>
      </w:pPr>
      <w:r w:rsidRPr="00C973E5">
        <w:rPr>
          <w:rFonts w:ascii="Times New Roman" w:hAnsi="Times New Roman" w:cs="Times New Roman"/>
          <w:sz w:val="24"/>
          <w:szCs w:val="24"/>
        </w:rPr>
        <w:t xml:space="preserve">     La </w:t>
      </w:r>
      <w:r w:rsidRPr="00C973E5">
        <w:rPr>
          <w:rStyle w:val="hps"/>
          <w:rFonts w:ascii="Times New Roman" w:hAnsi="Times New Roman" w:cs="Times New Roman"/>
          <w:sz w:val="24"/>
          <w:szCs w:val="24"/>
        </w:rPr>
        <w:t>technologie</w:t>
      </w:r>
      <w:r w:rsidRPr="00C973E5">
        <w:rPr>
          <w:rStyle w:val="longtext"/>
          <w:rFonts w:ascii="Times New Roman" w:hAnsi="Times New Roman" w:cs="Times New Roman"/>
          <w:sz w:val="24"/>
          <w:szCs w:val="24"/>
        </w:rPr>
        <w:t xml:space="preserve"> </w:t>
      </w:r>
      <w:r w:rsidRPr="00C973E5">
        <w:rPr>
          <w:rStyle w:val="hps"/>
          <w:rFonts w:ascii="Times New Roman" w:hAnsi="Times New Roman" w:cs="Times New Roman"/>
          <w:sz w:val="24"/>
          <w:szCs w:val="24"/>
        </w:rPr>
        <w:t>de la trempe</w:t>
      </w:r>
      <w:r w:rsidRPr="00C973E5">
        <w:rPr>
          <w:rStyle w:val="longtext"/>
          <w:rFonts w:ascii="Times New Roman" w:hAnsi="Times New Roman" w:cs="Times New Roman"/>
          <w:sz w:val="24"/>
          <w:szCs w:val="24"/>
        </w:rPr>
        <w:t xml:space="preserve"> en solutions </w:t>
      </w:r>
      <w:r w:rsidRPr="00C973E5">
        <w:rPr>
          <w:rStyle w:val="hps"/>
          <w:rFonts w:ascii="Times New Roman" w:hAnsi="Times New Roman" w:cs="Times New Roman"/>
          <w:sz w:val="24"/>
          <w:szCs w:val="24"/>
        </w:rPr>
        <w:t>aqueuses</w:t>
      </w:r>
      <w:r w:rsidRPr="00C973E5">
        <w:rPr>
          <w:rStyle w:val="longtext"/>
          <w:rFonts w:ascii="Times New Roman" w:hAnsi="Times New Roman" w:cs="Times New Roman"/>
          <w:sz w:val="24"/>
          <w:szCs w:val="24"/>
        </w:rPr>
        <w:t xml:space="preserve"> à base de </w:t>
      </w:r>
      <w:r w:rsidRPr="00C973E5">
        <w:rPr>
          <w:rStyle w:val="hps"/>
          <w:rFonts w:ascii="Times New Roman" w:hAnsi="Times New Roman" w:cs="Times New Roman"/>
          <w:sz w:val="24"/>
          <w:szCs w:val="24"/>
        </w:rPr>
        <w:t>polymères a</w:t>
      </w:r>
      <w:r w:rsidRPr="00C973E5">
        <w:rPr>
          <w:rStyle w:val="longtext"/>
          <w:rFonts w:ascii="Times New Roman" w:hAnsi="Times New Roman" w:cs="Times New Roman"/>
          <w:sz w:val="24"/>
          <w:szCs w:val="24"/>
        </w:rPr>
        <w:t xml:space="preserve"> </w:t>
      </w:r>
      <w:r w:rsidRPr="00C973E5">
        <w:rPr>
          <w:rStyle w:val="hps"/>
          <w:rFonts w:ascii="Times New Roman" w:hAnsi="Times New Roman" w:cs="Times New Roman"/>
          <w:sz w:val="24"/>
          <w:szCs w:val="24"/>
        </w:rPr>
        <w:t>beaucoup progressé durant plus de</w:t>
      </w:r>
      <w:r w:rsidRPr="00C973E5">
        <w:rPr>
          <w:rStyle w:val="longtext"/>
          <w:rFonts w:ascii="Times New Roman" w:hAnsi="Times New Roman" w:cs="Times New Roman"/>
          <w:sz w:val="24"/>
          <w:szCs w:val="24"/>
        </w:rPr>
        <w:t xml:space="preserve"> </w:t>
      </w:r>
      <w:r w:rsidRPr="00C973E5">
        <w:rPr>
          <w:rStyle w:val="hps"/>
          <w:rFonts w:ascii="Times New Roman" w:hAnsi="Times New Roman" w:cs="Times New Roman"/>
          <w:sz w:val="24"/>
          <w:szCs w:val="24"/>
        </w:rPr>
        <w:t xml:space="preserve">40 ans d'utilisation. Les polymères </w:t>
      </w:r>
      <w:r w:rsidRPr="00C973E5">
        <w:rPr>
          <w:rFonts w:ascii="Times New Roman" w:hAnsi="Times New Roman" w:cs="Times New Roman"/>
          <w:sz w:val="24"/>
          <w:szCs w:val="24"/>
        </w:rPr>
        <w:t xml:space="preserve"> présentent une faible toxicité et leur application dans la trempe pourrait présenter des avantages quant à la préservation de l’environnement et de la santé des opérateurs.</w:t>
      </w:r>
      <w:r w:rsidRPr="00C973E5">
        <w:rPr>
          <w:rStyle w:val="longtext"/>
          <w:rFonts w:ascii="Times New Roman" w:hAnsi="Times New Roman" w:cs="Times New Roman"/>
          <w:sz w:val="24"/>
          <w:szCs w:val="24"/>
        </w:rPr>
        <w:t xml:space="preserve"> </w:t>
      </w:r>
    </w:p>
    <w:p w:rsidR="0057329F" w:rsidRPr="00C973E5" w:rsidRDefault="0057329F" w:rsidP="0057329F">
      <w:pPr>
        <w:pBdr>
          <w:top w:val="thinThickThinSmallGap" w:sz="18" w:space="0" w:color="auto"/>
          <w:left w:val="thinThickThinSmallGap" w:sz="18" w:space="4" w:color="auto"/>
          <w:bottom w:val="thinThickThinSmallGap" w:sz="18" w:space="10" w:color="auto"/>
          <w:right w:val="thinThickThinSmallGap" w:sz="18" w:space="11" w:color="auto"/>
        </w:pBdr>
        <w:spacing w:after="0" w:line="240" w:lineRule="auto"/>
        <w:ind w:firstLine="708"/>
        <w:jc w:val="both"/>
        <w:rPr>
          <w:rFonts w:ascii="Times New Roman" w:hAnsi="Times New Roman" w:cs="Times New Roman"/>
          <w:sz w:val="24"/>
          <w:szCs w:val="24"/>
        </w:rPr>
      </w:pPr>
      <w:r w:rsidRPr="00C973E5">
        <w:rPr>
          <w:rFonts w:ascii="Times New Roman" w:hAnsi="Times New Roman" w:cs="Times New Roman"/>
          <w:sz w:val="24"/>
          <w:szCs w:val="24"/>
        </w:rPr>
        <w:t>Ce travail consiste à étudier le pouvoir de refroidissement de solutions de polymères hydrosolubles par le biais d’une sonde métallique modèle chauffée à 850°C et immergée dans le bain de trempe. La sonde est munie d’un thermocouple qui permet l’enregistrement de la variation de la température en fonction du temps. Les données thermocinétiques enregistrées permettent une analyse précise du processus de refroidissement et du transfert de chaleur qui s’est opéré durant la trempe. Le traitement des résultats a permis la  mise au point des conditions expérimentales optimales pour parvenir à un pouvoir de refroidissement et  un pouvoir trempant élevés, avec le minimum de risques de déformations et de défauts de structures des pièces trempées.</w:t>
      </w:r>
    </w:p>
    <w:p w:rsidR="0057329F" w:rsidRPr="00C973E5" w:rsidRDefault="0057329F" w:rsidP="0057329F">
      <w:pPr>
        <w:pBdr>
          <w:top w:val="thinThickThinSmallGap" w:sz="18" w:space="0" w:color="auto"/>
          <w:left w:val="thinThickThinSmallGap" w:sz="18" w:space="4" w:color="auto"/>
          <w:bottom w:val="thinThickThinSmallGap" w:sz="18" w:space="10" w:color="auto"/>
          <w:right w:val="thinThickThinSmallGap" w:sz="18" w:space="11" w:color="auto"/>
        </w:pBdr>
        <w:spacing w:after="0" w:line="240" w:lineRule="auto"/>
        <w:ind w:firstLine="708"/>
        <w:jc w:val="both"/>
        <w:rPr>
          <w:rFonts w:ascii="Times New Roman" w:hAnsi="Times New Roman" w:cs="Times New Roman"/>
          <w:sz w:val="24"/>
          <w:szCs w:val="24"/>
        </w:rPr>
      </w:pPr>
      <w:r w:rsidRPr="00C973E5">
        <w:rPr>
          <w:rFonts w:ascii="Times New Roman" w:hAnsi="Times New Roman" w:cs="Times New Roman"/>
          <w:sz w:val="24"/>
          <w:szCs w:val="24"/>
        </w:rPr>
        <w:t>Nous avons pour cela</w:t>
      </w:r>
      <w:r>
        <w:rPr>
          <w:rFonts w:ascii="Times New Roman" w:hAnsi="Times New Roman" w:cs="Times New Roman"/>
          <w:sz w:val="24"/>
          <w:szCs w:val="24"/>
        </w:rPr>
        <w:t>,</w:t>
      </w:r>
      <w:r w:rsidRPr="00C973E5">
        <w:rPr>
          <w:rFonts w:ascii="Times New Roman" w:hAnsi="Times New Roman" w:cs="Times New Roman"/>
          <w:sz w:val="24"/>
          <w:szCs w:val="24"/>
        </w:rPr>
        <w:t xml:space="preserve"> utilisé un </w:t>
      </w:r>
      <w:r>
        <w:rPr>
          <w:rFonts w:ascii="Times New Roman" w:hAnsi="Times New Roman" w:cs="Times New Roman"/>
          <w:sz w:val="24"/>
          <w:szCs w:val="24"/>
        </w:rPr>
        <w:t>dispositif de trempe</w:t>
      </w:r>
      <w:r w:rsidRPr="00C973E5">
        <w:rPr>
          <w:rFonts w:ascii="Times New Roman" w:hAnsi="Times New Roman" w:cs="Times New Roman"/>
          <w:sz w:val="24"/>
          <w:szCs w:val="24"/>
        </w:rPr>
        <w:t xml:space="preserve">, le </w:t>
      </w:r>
      <w:proofErr w:type="spellStart"/>
      <w:r w:rsidRPr="00C973E5">
        <w:rPr>
          <w:rFonts w:ascii="Times New Roman" w:hAnsi="Times New Roman" w:cs="Times New Roman"/>
          <w:sz w:val="24"/>
          <w:szCs w:val="24"/>
        </w:rPr>
        <w:t>Drasticimètre</w:t>
      </w:r>
      <w:proofErr w:type="spellEnd"/>
      <w:r w:rsidRPr="00C973E5">
        <w:rPr>
          <w:rFonts w:ascii="Times New Roman" w:hAnsi="Times New Roman" w:cs="Times New Roman"/>
          <w:sz w:val="24"/>
          <w:szCs w:val="24"/>
        </w:rPr>
        <w:t xml:space="preserve"> : IVF </w:t>
      </w:r>
      <w:proofErr w:type="spellStart"/>
      <w:r w:rsidRPr="00C973E5">
        <w:rPr>
          <w:rFonts w:ascii="Times New Roman" w:hAnsi="Times New Roman" w:cs="Times New Roman"/>
          <w:sz w:val="24"/>
          <w:szCs w:val="24"/>
        </w:rPr>
        <w:t>SmartQuench</w:t>
      </w:r>
      <w:proofErr w:type="spellEnd"/>
      <w:r w:rsidRPr="00C973E5">
        <w:rPr>
          <w:rFonts w:ascii="Times New Roman" w:hAnsi="Times New Roman" w:cs="Times New Roman"/>
          <w:sz w:val="24"/>
          <w:szCs w:val="24"/>
        </w:rPr>
        <w:t xml:space="preserve"> SQ </w:t>
      </w:r>
      <w:proofErr w:type="spellStart"/>
      <w:r w:rsidRPr="00C973E5">
        <w:rPr>
          <w:rFonts w:ascii="Times New Roman" w:hAnsi="Times New Roman" w:cs="Times New Roman"/>
          <w:sz w:val="24"/>
          <w:szCs w:val="24"/>
        </w:rPr>
        <w:t>Integra</w:t>
      </w:r>
      <w:proofErr w:type="spellEnd"/>
      <w:r w:rsidRPr="00C973E5">
        <w:rPr>
          <w:rFonts w:ascii="Times New Roman" w:hAnsi="Times New Roman" w:cs="Times New Roman"/>
          <w:sz w:val="24"/>
          <w:szCs w:val="24"/>
        </w:rPr>
        <w:t xml:space="preserve">™. Il </w:t>
      </w:r>
      <w:r>
        <w:rPr>
          <w:rFonts w:ascii="Times New Roman" w:hAnsi="Times New Roman" w:cs="Times New Roman"/>
          <w:sz w:val="24"/>
          <w:szCs w:val="24"/>
        </w:rPr>
        <w:t xml:space="preserve">est </w:t>
      </w:r>
      <w:r w:rsidRPr="00C973E5">
        <w:rPr>
          <w:rFonts w:ascii="Times New Roman" w:hAnsi="Times New Roman" w:cs="Times New Roman"/>
          <w:sz w:val="24"/>
          <w:szCs w:val="24"/>
        </w:rPr>
        <w:t>équipé d’un four d’austén</w:t>
      </w:r>
      <w:r>
        <w:rPr>
          <w:rFonts w:ascii="Times New Roman" w:hAnsi="Times New Roman" w:cs="Times New Roman"/>
          <w:sz w:val="24"/>
          <w:szCs w:val="24"/>
        </w:rPr>
        <w:t>itisation  d’un bain de trempe,</w:t>
      </w:r>
      <w:r w:rsidRPr="00C973E5">
        <w:rPr>
          <w:rFonts w:ascii="Times New Roman" w:hAnsi="Times New Roman" w:cs="Times New Roman"/>
          <w:sz w:val="24"/>
          <w:szCs w:val="24"/>
        </w:rPr>
        <w:t xml:space="preserve"> d’une sonde type INCONEL et d’un PC pour l’enregistrement des données. Le logiciel incorporé permet l’analyse thermocinétique des  courbes de refroidissement, le calcul du pouvoir de refroidissement  et de durcissement, le calcul du coefficient de transfert de chaleur et la prédiction de la dureté et de la microstructure ainsi que leurs profils correspondants pour une série  d’aciers.</w:t>
      </w:r>
    </w:p>
    <w:p w:rsidR="0057329F" w:rsidRPr="00C973E5" w:rsidRDefault="0057329F" w:rsidP="0057329F">
      <w:pPr>
        <w:pBdr>
          <w:top w:val="thinThickThinSmallGap" w:sz="18" w:space="0" w:color="auto"/>
          <w:left w:val="thinThickThinSmallGap" w:sz="18" w:space="4" w:color="auto"/>
          <w:bottom w:val="thinThickThinSmallGap" w:sz="18" w:space="10" w:color="auto"/>
          <w:right w:val="thinThickThinSmallGap" w:sz="18" w:space="11" w:color="auto"/>
        </w:pBdr>
        <w:spacing w:after="0" w:line="240" w:lineRule="auto"/>
        <w:jc w:val="both"/>
        <w:rPr>
          <w:rFonts w:ascii="Times New Roman" w:hAnsi="Times New Roman" w:cs="Times New Roman"/>
          <w:sz w:val="24"/>
          <w:szCs w:val="24"/>
        </w:rPr>
      </w:pPr>
      <w:r w:rsidRPr="00C973E5">
        <w:rPr>
          <w:rFonts w:ascii="Times New Roman" w:hAnsi="Times New Roman" w:cs="Times New Roman"/>
          <w:sz w:val="24"/>
          <w:szCs w:val="24"/>
        </w:rPr>
        <w:t xml:space="preserve"> </w:t>
      </w:r>
      <w:r w:rsidRPr="00C973E5">
        <w:rPr>
          <w:rFonts w:ascii="Times New Roman" w:hAnsi="Times New Roman" w:cs="Times New Roman"/>
          <w:sz w:val="24"/>
          <w:szCs w:val="24"/>
        </w:rPr>
        <w:tab/>
        <w:t>Les polymères hydrosolubles choisis pour cette étude sont les Polyéthylène glycol (PEG10000 et PEG35000) et les Poly-N-</w:t>
      </w:r>
      <w:proofErr w:type="spellStart"/>
      <w:r w:rsidRPr="00C973E5">
        <w:rPr>
          <w:rFonts w:ascii="Times New Roman" w:hAnsi="Times New Roman" w:cs="Times New Roman"/>
          <w:sz w:val="24"/>
          <w:szCs w:val="24"/>
        </w:rPr>
        <w:t>Vinyl</w:t>
      </w:r>
      <w:proofErr w:type="spellEnd"/>
      <w:r w:rsidRPr="00C973E5">
        <w:rPr>
          <w:rFonts w:ascii="Times New Roman" w:hAnsi="Times New Roman" w:cs="Times New Roman"/>
          <w:sz w:val="24"/>
          <w:szCs w:val="24"/>
        </w:rPr>
        <w:t>-2-</w:t>
      </w:r>
      <w:proofErr w:type="spellStart"/>
      <w:r w:rsidRPr="00C973E5">
        <w:rPr>
          <w:rFonts w:ascii="Times New Roman" w:hAnsi="Times New Roman" w:cs="Times New Roman"/>
          <w:sz w:val="24"/>
          <w:szCs w:val="24"/>
        </w:rPr>
        <w:t>Pyrrolidone</w:t>
      </w:r>
      <w:proofErr w:type="spellEnd"/>
      <w:r w:rsidRPr="00C973E5">
        <w:rPr>
          <w:rFonts w:ascii="Times New Roman" w:hAnsi="Times New Roman" w:cs="Times New Roman"/>
          <w:sz w:val="24"/>
          <w:szCs w:val="24"/>
        </w:rPr>
        <w:t xml:space="preserve"> (PVP K25 et PVP K30).</w:t>
      </w:r>
    </w:p>
    <w:p w:rsidR="0057329F" w:rsidRPr="00C973E5" w:rsidRDefault="0057329F" w:rsidP="0057329F">
      <w:pPr>
        <w:pBdr>
          <w:top w:val="thinThickThinSmallGap" w:sz="18" w:space="0" w:color="auto"/>
          <w:left w:val="thinThickThinSmallGap" w:sz="18" w:space="4" w:color="auto"/>
          <w:bottom w:val="thinThickThinSmallGap" w:sz="18" w:space="10" w:color="auto"/>
          <w:right w:val="thinThickThinSmallGap" w:sz="18" w:space="11" w:color="auto"/>
        </w:pBdr>
        <w:spacing w:after="0" w:line="240" w:lineRule="auto"/>
        <w:jc w:val="both"/>
        <w:rPr>
          <w:rFonts w:ascii="Times New Roman" w:hAnsi="Times New Roman" w:cs="Times New Roman"/>
          <w:sz w:val="24"/>
          <w:szCs w:val="24"/>
        </w:rPr>
      </w:pPr>
      <w:r w:rsidRPr="00C973E5">
        <w:rPr>
          <w:rFonts w:ascii="Times New Roman" w:hAnsi="Times New Roman" w:cs="Times New Roman"/>
          <w:sz w:val="24"/>
          <w:szCs w:val="24"/>
        </w:rPr>
        <w:t>L’étude du pouvoir de refroidissement a été menée en faisant varier  différents facteurs expérimentaux ; concentrations, températur</w:t>
      </w:r>
      <w:r>
        <w:rPr>
          <w:rFonts w:ascii="Times New Roman" w:hAnsi="Times New Roman" w:cs="Times New Roman"/>
          <w:sz w:val="24"/>
          <w:szCs w:val="24"/>
        </w:rPr>
        <w:t>e du bain, vitesses d’agitation</w:t>
      </w:r>
      <w:r w:rsidRPr="00C973E5">
        <w:rPr>
          <w:rFonts w:ascii="Times New Roman" w:hAnsi="Times New Roman" w:cs="Times New Roman"/>
          <w:sz w:val="24"/>
          <w:szCs w:val="24"/>
        </w:rPr>
        <w:t>. Les résultats sont comparés à une huile de référence utilisée dans l’industrie. Les résultats révèl</w:t>
      </w:r>
      <w:r>
        <w:rPr>
          <w:rFonts w:ascii="Times New Roman" w:hAnsi="Times New Roman" w:cs="Times New Roman"/>
          <w:sz w:val="24"/>
          <w:szCs w:val="24"/>
        </w:rPr>
        <w:t>ent des performances similaires</w:t>
      </w:r>
      <w:r w:rsidRPr="00C973E5">
        <w:rPr>
          <w:rFonts w:ascii="Times New Roman" w:hAnsi="Times New Roman" w:cs="Times New Roman"/>
          <w:sz w:val="24"/>
          <w:szCs w:val="24"/>
        </w:rPr>
        <w:t>, parfois supérieurs à l’huile notamment dans le cas des solutions de polymères suivantes</w:t>
      </w:r>
      <w:proofErr w:type="gramStart"/>
      <w:r w:rsidRPr="00C973E5">
        <w:rPr>
          <w:rFonts w:ascii="Times New Roman" w:hAnsi="Times New Roman" w:cs="Times New Roman"/>
          <w:sz w:val="24"/>
          <w:szCs w:val="24"/>
        </w:rPr>
        <w:t>  :</w:t>
      </w:r>
      <w:proofErr w:type="gramEnd"/>
      <w:r w:rsidRPr="00C973E5">
        <w:rPr>
          <w:rFonts w:ascii="Times New Roman" w:hAnsi="Times New Roman" w:cs="Times New Roman"/>
          <w:sz w:val="24"/>
          <w:szCs w:val="24"/>
        </w:rPr>
        <w:t xml:space="preserve"> 10% PEG35000, 15% de PVPK25 et 10% et 15% de PVPK30 et ceci pour des vitesses d’agitation et températures de bain bien définies. </w:t>
      </w:r>
    </w:p>
    <w:p w:rsidR="0057329F" w:rsidRPr="00C973E5" w:rsidRDefault="0057329F" w:rsidP="0057329F">
      <w:pPr>
        <w:pBdr>
          <w:top w:val="thinThickThinSmallGap" w:sz="18" w:space="0" w:color="auto"/>
          <w:left w:val="thinThickThinSmallGap" w:sz="18" w:space="4" w:color="auto"/>
          <w:bottom w:val="thinThickThinSmallGap" w:sz="18" w:space="10" w:color="auto"/>
          <w:right w:val="thinThickThinSmallGap" w:sz="18" w:space="11" w:color="auto"/>
        </w:pBdr>
        <w:spacing w:after="0" w:line="240" w:lineRule="auto"/>
        <w:jc w:val="both"/>
        <w:rPr>
          <w:rFonts w:ascii="Times New Roman" w:hAnsi="Times New Roman" w:cs="Times New Roman"/>
          <w:sz w:val="24"/>
          <w:szCs w:val="24"/>
        </w:rPr>
      </w:pPr>
      <w:r w:rsidRPr="00C973E5">
        <w:rPr>
          <w:rFonts w:ascii="Times New Roman" w:hAnsi="Times New Roman" w:cs="Times New Roman"/>
          <w:sz w:val="24"/>
          <w:szCs w:val="24"/>
        </w:rPr>
        <w:t xml:space="preserve">Le calcul du transfert de chaleur pièce /solution concorde avec les résultats de la </w:t>
      </w:r>
      <w:proofErr w:type="spellStart"/>
      <w:r w:rsidRPr="00C973E5">
        <w:rPr>
          <w:rFonts w:ascii="Times New Roman" w:hAnsi="Times New Roman" w:cs="Times New Roman"/>
          <w:sz w:val="24"/>
          <w:szCs w:val="24"/>
        </w:rPr>
        <w:t>drasticité</w:t>
      </w:r>
      <w:proofErr w:type="spellEnd"/>
      <w:r w:rsidRPr="00C973E5">
        <w:rPr>
          <w:rFonts w:ascii="Times New Roman" w:hAnsi="Times New Roman" w:cs="Times New Roman"/>
          <w:sz w:val="24"/>
          <w:szCs w:val="24"/>
        </w:rPr>
        <w:t xml:space="preserve">. </w:t>
      </w:r>
    </w:p>
    <w:p w:rsidR="0057329F" w:rsidRPr="00C973E5" w:rsidRDefault="0057329F" w:rsidP="0057329F">
      <w:pPr>
        <w:pBdr>
          <w:top w:val="thinThickThinSmallGap" w:sz="18" w:space="0" w:color="auto"/>
          <w:left w:val="thinThickThinSmallGap" w:sz="18" w:space="4" w:color="auto"/>
          <w:bottom w:val="thinThickThinSmallGap" w:sz="18" w:space="10" w:color="auto"/>
          <w:right w:val="thinThickThinSmallGap" w:sz="18" w:space="11" w:color="auto"/>
        </w:pBdr>
        <w:spacing w:after="0" w:line="240" w:lineRule="auto"/>
        <w:ind w:firstLine="708"/>
        <w:jc w:val="both"/>
        <w:rPr>
          <w:rFonts w:ascii="Times New Roman" w:hAnsi="Times New Roman" w:cs="Times New Roman"/>
          <w:sz w:val="24"/>
          <w:szCs w:val="24"/>
        </w:rPr>
      </w:pPr>
      <w:r w:rsidRPr="00C973E5">
        <w:rPr>
          <w:rFonts w:ascii="Times New Roman" w:hAnsi="Times New Roman" w:cs="Times New Roman"/>
          <w:sz w:val="24"/>
          <w:szCs w:val="24"/>
        </w:rPr>
        <w:t xml:space="preserve">Enfin les résultats obtenus par l’étude de la  </w:t>
      </w:r>
      <w:proofErr w:type="spellStart"/>
      <w:r w:rsidRPr="00C973E5">
        <w:rPr>
          <w:rFonts w:ascii="Times New Roman" w:hAnsi="Times New Roman" w:cs="Times New Roman"/>
          <w:sz w:val="24"/>
          <w:szCs w:val="24"/>
        </w:rPr>
        <w:t>drasticité</w:t>
      </w:r>
      <w:proofErr w:type="spellEnd"/>
      <w:r w:rsidRPr="00C973E5">
        <w:rPr>
          <w:rFonts w:ascii="Times New Roman" w:hAnsi="Times New Roman" w:cs="Times New Roman"/>
          <w:sz w:val="24"/>
          <w:szCs w:val="24"/>
        </w:rPr>
        <w:t xml:space="preserve"> et le calcul du coefficient de transfert de chaleur ont été utilisés, pour la prédiction de la dureté et de la microstructure, ainsi que de leurs profiles, pour deux nuances d’acier très utilisés dans l’industrie, le 16MnCrS5 et le C45, l’objectif étant de réunir  les conditions optimales de leur  trempe dans les solutions polymères</w:t>
      </w:r>
      <w:proofErr w:type="gramStart"/>
      <w:r w:rsidRPr="00C973E5">
        <w:rPr>
          <w:rFonts w:ascii="Times New Roman" w:hAnsi="Times New Roman" w:cs="Times New Roman"/>
          <w:sz w:val="24"/>
          <w:szCs w:val="24"/>
        </w:rPr>
        <w:t>..</w:t>
      </w:r>
      <w:proofErr w:type="gramEnd"/>
      <w:r w:rsidRPr="00C973E5">
        <w:rPr>
          <w:rFonts w:ascii="Times New Roman" w:hAnsi="Times New Roman" w:cs="Times New Roman"/>
          <w:sz w:val="24"/>
          <w:szCs w:val="24"/>
        </w:rPr>
        <w:t xml:space="preserve">   </w:t>
      </w:r>
    </w:p>
    <w:p w:rsidR="0057329F" w:rsidRPr="00C973E5" w:rsidRDefault="0057329F" w:rsidP="0057329F">
      <w:pPr>
        <w:pBdr>
          <w:top w:val="single" w:sz="4" w:space="1" w:color="FFFFFF"/>
          <w:left w:val="single" w:sz="4" w:space="4" w:color="FFFFFF"/>
          <w:bottom w:val="single" w:sz="4" w:space="1" w:color="FFFFFF"/>
          <w:right w:val="single" w:sz="4" w:space="4" w:color="FFFFFF"/>
        </w:pBdr>
        <w:spacing w:after="0" w:line="240" w:lineRule="auto"/>
        <w:jc w:val="both"/>
        <w:rPr>
          <w:rFonts w:ascii="Times New Roman" w:hAnsi="Times New Roman" w:cs="Times New Roman"/>
          <w:sz w:val="24"/>
          <w:szCs w:val="24"/>
        </w:rPr>
      </w:pPr>
      <w:r w:rsidRPr="00C973E5">
        <w:rPr>
          <w:rFonts w:ascii="Times New Roman" w:hAnsi="Times New Roman" w:cs="Times New Roman"/>
          <w:sz w:val="24"/>
          <w:szCs w:val="24"/>
        </w:rPr>
        <w:t>*   Thèse de Doctorat.  </w:t>
      </w:r>
    </w:p>
    <w:p w:rsidR="0057329F" w:rsidRPr="00C973E5" w:rsidRDefault="0057329F" w:rsidP="0057329F">
      <w:pPr>
        <w:pBdr>
          <w:top w:val="single" w:sz="4" w:space="1" w:color="FFFFFF"/>
          <w:left w:val="single" w:sz="4" w:space="4" w:color="FFFFFF"/>
          <w:bottom w:val="single" w:sz="4" w:space="1" w:color="FFFFFF"/>
          <w:right w:val="single" w:sz="4" w:space="4" w:color="FFFFFF"/>
        </w:pBdr>
        <w:spacing w:after="0" w:line="240" w:lineRule="auto"/>
        <w:jc w:val="both"/>
        <w:rPr>
          <w:rFonts w:ascii="Times New Roman" w:hAnsi="Times New Roman" w:cs="Times New Roman"/>
          <w:sz w:val="24"/>
          <w:szCs w:val="24"/>
        </w:rPr>
      </w:pPr>
      <w:r w:rsidRPr="00C973E5">
        <w:rPr>
          <w:rFonts w:ascii="Times New Roman" w:hAnsi="Times New Roman" w:cs="Times New Roman"/>
          <w:sz w:val="24"/>
          <w:szCs w:val="24"/>
        </w:rPr>
        <w:t xml:space="preserve">** Directeur de thèse : </w:t>
      </w:r>
      <w:r w:rsidRPr="00C973E5">
        <w:rPr>
          <w:rFonts w:ascii="Times New Roman" w:hAnsi="Times New Roman" w:cs="Times New Roman"/>
          <w:b/>
          <w:bCs/>
          <w:sz w:val="24"/>
          <w:szCs w:val="24"/>
        </w:rPr>
        <w:t xml:space="preserve">Mr </w:t>
      </w:r>
      <w:proofErr w:type="spellStart"/>
      <w:r w:rsidRPr="00C973E5">
        <w:rPr>
          <w:rFonts w:ascii="Times New Roman" w:hAnsi="Times New Roman" w:cs="Times New Roman"/>
          <w:b/>
          <w:bCs/>
          <w:sz w:val="24"/>
          <w:szCs w:val="24"/>
        </w:rPr>
        <w:t>Mouzali</w:t>
      </w:r>
      <w:proofErr w:type="spellEnd"/>
      <w:r w:rsidRPr="00C973E5">
        <w:rPr>
          <w:rFonts w:ascii="Times New Roman" w:hAnsi="Times New Roman" w:cs="Times New Roman"/>
          <w:b/>
          <w:bCs/>
          <w:sz w:val="24"/>
          <w:szCs w:val="24"/>
        </w:rPr>
        <w:t>. M</w:t>
      </w:r>
      <w:r w:rsidRPr="00C973E5">
        <w:rPr>
          <w:rFonts w:ascii="Times New Roman" w:hAnsi="Times New Roman" w:cs="Times New Roman"/>
          <w:sz w:val="24"/>
          <w:szCs w:val="24"/>
        </w:rPr>
        <w:t>, Professeur à la Faculté de Chimie-USTHB-</w:t>
      </w:r>
    </w:p>
    <w:p w:rsidR="0057329F" w:rsidRPr="00C973E5" w:rsidRDefault="0057329F" w:rsidP="0057329F">
      <w:pPr>
        <w:pBdr>
          <w:top w:val="single" w:sz="4" w:space="1" w:color="FFFFFF"/>
          <w:left w:val="single" w:sz="4" w:space="4" w:color="FFFFFF"/>
          <w:bottom w:val="single" w:sz="4" w:space="1" w:color="FFFFFF"/>
          <w:right w:val="single" w:sz="4" w:space="4" w:color="FFFFFF"/>
        </w:pBdr>
        <w:spacing w:after="0" w:line="240" w:lineRule="auto"/>
        <w:jc w:val="both"/>
        <w:rPr>
          <w:rFonts w:ascii="Times New Roman" w:hAnsi="Times New Roman" w:cs="Times New Roman"/>
          <w:sz w:val="24"/>
          <w:szCs w:val="24"/>
        </w:rPr>
      </w:pPr>
    </w:p>
    <w:p w:rsidR="0057329F" w:rsidRPr="00C973E5" w:rsidRDefault="0057329F" w:rsidP="0057329F">
      <w:pPr>
        <w:pBdr>
          <w:top w:val="single" w:sz="4" w:space="1" w:color="FFFFFF"/>
          <w:left w:val="single" w:sz="4" w:space="4" w:color="FFFFFF"/>
          <w:bottom w:val="single" w:sz="4" w:space="1" w:color="FFFFFF"/>
          <w:right w:val="single" w:sz="4" w:space="4" w:color="FFFFFF"/>
        </w:pBdr>
        <w:spacing w:after="0" w:line="240" w:lineRule="auto"/>
        <w:jc w:val="both"/>
        <w:rPr>
          <w:rFonts w:ascii="Times New Roman" w:hAnsi="Times New Roman" w:cs="Times New Roman"/>
          <w:sz w:val="24"/>
          <w:szCs w:val="24"/>
        </w:rPr>
      </w:pPr>
    </w:p>
    <w:p w:rsidR="0057329F" w:rsidRPr="00AB79A7" w:rsidRDefault="0057329F" w:rsidP="0057329F">
      <w:pPr>
        <w:pBdr>
          <w:top w:val="single" w:sz="4" w:space="1" w:color="FFFFFF"/>
          <w:left w:val="single" w:sz="4" w:space="4" w:color="FFFFFF"/>
          <w:bottom w:val="single" w:sz="4" w:space="1" w:color="FFFFFF"/>
          <w:right w:val="single" w:sz="4" w:space="4" w:color="FFFFFF"/>
        </w:pBdr>
        <w:spacing w:after="0" w:line="240" w:lineRule="auto"/>
        <w:jc w:val="both"/>
        <w:rPr>
          <w:rFonts w:ascii="Times New Roman" w:hAnsi="Times New Roman" w:cs="Times New Roman"/>
        </w:rPr>
      </w:pPr>
    </w:p>
    <w:p w:rsidR="00715676" w:rsidRDefault="00715676"/>
    <w:sectPr w:rsidR="00715676" w:rsidSect="0071567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1"/>
  <w:proofState w:spelling="clean" w:grammar="clean"/>
  <w:defaultTabStop w:val="708"/>
  <w:hyphenationZone w:val="425"/>
  <w:characterSpacingControl w:val="doNotCompress"/>
  <w:compat/>
  <w:rsids>
    <w:rsidRoot w:val="0057329F"/>
    <w:rsid w:val="0000262D"/>
    <w:rsid w:val="00006B0D"/>
    <w:rsid w:val="00013183"/>
    <w:rsid w:val="00016915"/>
    <w:rsid w:val="00021E12"/>
    <w:rsid w:val="00024763"/>
    <w:rsid w:val="00025750"/>
    <w:rsid w:val="00025CD6"/>
    <w:rsid w:val="000266F5"/>
    <w:rsid w:val="00034898"/>
    <w:rsid w:val="00036DEC"/>
    <w:rsid w:val="00036F13"/>
    <w:rsid w:val="000376DB"/>
    <w:rsid w:val="000429C5"/>
    <w:rsid w:val="00056B91"/>
    <w:rsid w:val="00057F77"/>
    <w:rsid w:val="0006270E"/>
    <w:rsid w:val="000643D2"/>
    <w:rsid w:val="000658ED"/>
    <w:rsid w:val="00071890"/>
    <w:rsid w:val="00074AA7"/>
    <w:rsid w:val="0007577C"/>
    <w:rsid w:val="00080E56"/>
    <w:rsid w:val="000962FC"/>
    <w:rsid w:val="000A7D3C"/>
    <w:rsid w:val="000B1B8B"/>
    <w:rsid w:val="000B62F4"/>
    <w:rsid w:val="000C3BB4"/>
    <w:rsid w:val="000C6BDC"/>
    <w:rsid w:val="000D41E9"/>
    <w:rsid w:val="000D6594"/>
    <w:rsid w:val="000D7B68"/>
    <w:rsid w:val="000E1C77"/>
    <w:rsid w:val="000E2622"/>
    <w:rsid w:val="000E6F88"/>
    <w:rsid w:val="000F5E7B"/>
    <w:rsid w:val="00126C63"/>
    <w:rsid w:val="0012765B"/>
    <w:rsid w:val="0013444D"/>
    <w:rsid w:val="00147E05"/>
    <w:rsid w:val="00156B17"/>
    <w:rsid w:val="001629FC"/>
    <w:rsid w:val="00162A30"/>
    <w:rsid w:val="0016566C"/>
    <w:rsid w:val="00166AB5"/>
    <w:rsid w:val="001819E2"/>
    <w:rsid w:val="001A368F"/>
    <w:rsid w:val="001C19B6"/>
    <w:rsid w:val="001C3D00"/>
    <w:rsid w:val="001D502E"/>
    <w:rsid w:val="0020205F"/>
    <w:rsid w:val="00202985"/>
    <w:rsid w:val="002161CA"/>
    <w:rsid w:val="00232732"/>
    <w:rsid w:val="00232C01"/>
    <w:rsid w:val="00262C97"/>
    <w:rsid w:val="00270827"/>
    <w:rsid w:val="00276FB8"/>
    <w:rsid w:val="00277046"/>
    <w:rsid w:val="0028737A"/>
    <w:rsid w:val="00290196"/>
    <w:rsid w:val="002922D3"/>
    <w:rsid w:val="002C29AE"/>
    <w:rsid w:val="002C2BF5"/>
    <w:rsid w:val="002C36CA"/>
    <w:rsid w:val="002C42EF"/>
    <w:rsid w:val="002C69A4"/>
    <w:rsid w:val="002D300B"/>
    <w:rsid w:val="002D362D"/>
    <w:rsid w:val="002E0D76"/>
    <w:rsid w:val="002F3A3B"/>
    <w:rsid w:val="002F66B7"/>
    <w:rsid w:val="003041BE"/>
    <w:rsid w:val="003138F5"/>
    <w:rsid w:val="00322DBB"/>
    <w:rsid w:val="0032386A"/>
    <w:rsid w:val="00324021"/>
    <w:rsid w:val="00324A6C"/>
    <w:rsid w:val="00327B5B"/>
    <w:rsid w:val="003314FB"/>
    <w:rsid w:val="00331995"/>
    <w:rsid w:val="00335DB7"/>
    <w:rsid w:val="00336746"/>
    <w:rsid w:val="00337289"/>
    <w:rsid w:val="00347245"/>
    <w:rsid w:val="003538FB"/>
    <w:rsid w:val="00373356"/>
    <w:rsid w:val="003823FD"/>
    <w:rsid w:val="00384E65"/>
    <w:rsid w:val="003873FF"/>
    <w:rsid w:val="00393408"/>
    <w:rsid w:val="0039548A"/>
    <w:rsid w:val="00396C84"/>
    <w:rsid w:val="003A1941"/>
    <w:rsid w:val="003C0EC0"/>
    <w:rsid w:val="003E06A5"/>
    <w:rsid w:val="003E28B3"/>
    <w:rsid w:val="003E4C4A"/>
    <w:rsid w:val="003F3EDF"/>
    <w:rsid w:val="003F656A"/>
    <w:rsid w:val="00401936"/>
    <w:rsid w:val="00420380"/>
    <w:rsid w:val="00423959"/>
    <w:rsid w:val="00424C66"/>
    <w:rsid w:val="00441B47"/>
    <w:rsid w:val="0044285C"/>
    <w:rsid w:val="00446010"/>
    <w:rsid w:val="00453E6A"/>
    <w:rsid w:val="00461711"/>
    <w:rsid w:val="00463FD5"/>
    <w:rsid w:val="00483FB8"/>
    <w:rsid w:val="0049405D"/>
    <w:rsid w:val="004946B1"/>
    <w:rsid w:val="004B0913"/>
    <w:rsid w:val="004B7394"/>
    <w:rsid w:val="004B7747"/>
    <w:rsid w:val="004C7725"/>
    <w:rsid w:val="004D5815"/>
    <w:rsid w:val="004D750A"/>
    <w:rsid w:val="004E6675"/>
    <w:rsid w:val="004E794D"/>
    <w:rsid w:val="004F25A7"/>
    <w:rsid w:val="004F2DA1"/>
    <w:rsid w:val="004F6F03"/>
    <w:rsid w:val="004F74F8"/>
    <w:rsid w:val="00501C8E"/>
    <w:rsid w:val="00510CC5"/>
    <w:rsid w:val="005113FC"/>
    <w:rsid w:val="00521901"/>
    <w:rsid w:val="00522F5A"/>
    <w:rsid w:val="0052778D"/>
    <w:rsid w:val="005326E0"/>
    <w:rsid w:val="0053320C"/>
    <w:rsid w:val="0053359E"/>
    <w:rsid w:val="00534522"/>
    <w:rsid w:val="00534D48"/>
    <w:rsid w:val="00541203"/>
    <w:rsid w:val="0054387E"/>
    <w:rsid w:val="00551476"/>
    <w:rsid w:val="0055218A"/>
    <w:rsid w:val="00556207"/>
    <w:rsid w:val="00564853"/>
    <w:rsid w:val="0057209D"/>
    <w:rsid w:val="005728AC"/>
    <w:rsid w:val="0057329F"/>
    <w:rsid w:val="00576334"/>
    <w:rsid w:val="005769B0"/>
    <w:rsid w:val="0058155C"/>
    <w:rsid w:val="00591D46"/>
    <w:rsid w:val="005A4691"/>
    <w:rsid w:val="005A63B6"/>
    <w:rsid w:val="005B47D0"/>
    <w:rsid w:val="005C3870"/>
    <w:rsid w:val="005C66E7"/>
    <w:rsid w:val="005C6C0C"/>
    <w:rsid w:val="005D0F52"/>
    <w:rsid w:val="005D73C5"/>
    <w:rsid w:val="005F2F73"/>
    <w:rsid w:val="005F4960"/>
    <w:rsid w:val="005F49C1"/>
    <w:rsid w:val="005F520B"/>
    <w:rsid w:val="005F6876"/>
    <w:rsid w:val="00600005"/>
    <w:rsid w:val="00600A7D"/>
    <w:rsid w:val="0061447C"/>
    <w:rsid w:val="006145D5"/>
    <w:rsid w:val="00617CF6"/>
    <w:rsid w:val="00623A1A"/>
    <w:rsid w:val="00627B62"/>
    <w:rsid w:val="00630A18"/>
    <w:rsid w:val="006328C6"/>
    <w:rsid w:val="00643688"/>
    <w:rsid w:val="006465AF"/>
    <w:rsid w:val="006538F8"/>
    <w:rsid w:val="006627D4"/>
    <w:rsid w:val="00672D79"/>
    <w:rsid w:val="00686379"/>
    <w:rsid w:val="00693C7B"/>
    <w:rsid w:val="0069770F"/>
    <w:rsid w:val="006A54D0"/>
    <w:rsid w:val="006B50A3"/>
    <w:rsid w:val="006C56A3"/>
    <w:rsid w:val="006D037E"/>
    <w:rsid w:val="006E58C9"/>
    <w:rsid w:val="006E6D2F"/>
    <w:rsid w:val="006F16D1"/>
    <w:rsid w:val="006F4A13"/>
    <w:rsid w:val="006F544C"/>
    <w:rsid w:val="00700EBD"/>
    <w:rsid w:val="00704750"/>
    <w:rsid w:val="00711DC5"/>
    <w:rsid w:val="00713CD6"/>
    <w:rsid w:val="007146DE"/>
    <w:rsid w:val="00715676"/>
    <w:rsid w:val="00730931"/>
    <w:rsid w:val="00731EA9"/>
    <w:rsid w:val="00743E5F"/>
    <w:rsid w:val="00747C30"/>
    <w:rsid w:val="00754760"/>
    <w:rsid w:val="00761992"/>
    <w:rsid w:val="0076202F"/>
    <w:rsid w:val="00777143"/>
    <w:rsid w:val="00783B1C"/>
    <w:rsid w:val="00787A94"/>
    <w:rsid w:val="00790368"/>
    <w:rsid w:val="00795C85"/>
    <w:rsid w:val="007963AF"/>
    <w:rsid w:val="007A2AD6"/>
    <w:rsid w:val="007A43DA"/>
    <w:rsid w:val="007A51C9"/>
    <w:rsid w:val="007A769D"/>
    <w:rsid w:val="007B1071"/>
    <w:rsid w:val="007B4C97"/>
    <w:rsid w:val="007C052B"/>
    <w:rsid w:val="007C1BB1"/>
    <w:rsid w:val="007D4D08"/>
    <w:rsid w:val="007E08D6"/>
    <w:rsid w:val="007E224A"/>
    <w:rsid w:val="007E4B67"/>
    <w:rsid w:val="007E58C7"/>
    <w:rsid w:val="007F2BF0"/>
    <w:rsid w:val="00800B9C"/>
    <w:rsid w:val="00801699"/>
    <w:rsid w:val="00812032"/>
    <w:rsid w:val="008162F1"/>
    <w:rsid w:val="008177D1"/>
    <w:rsid w:val="00837355"/>
    <w:rsid w:val="00837FE3"/>
    <w:rsid w:val="00841376"/>
    <w:rsid w:val="0085114D"/>
    <w:rsid w:val="00853A73"/>
    <w:rsid w:val="0085525E"/>
    <w:rsid w:val="0087484C"/>
    <w:rsid w:val="00875EDB"/>
    <w:rsid w:val="008804F1"/>
    <w:rsid w:val="00891AC0"/>
    <w:rsid w:val="00894D79"/>
    <w:rsid w:val="008A015D"/>
    <w:rsid w:val="008A2276"/>
    <w:rsid w:val="008B0071"/>
    <w:rsid w:val="008C0EB8"/>
    <w:rsid w:val="008D438D"/>
    <w:rsid w:val="008E2494"/>
    <w:rsid w:val="008E3572"/>
    <w:rsid w:val="008F45D7"/>
    <w:rsid w:val="008F777B"/>
    <w:rsid w:val="00905B60"/>
    <w:rsid w:val="009129E8"/>
    <w:rsid w:val="009131FB"/>
    <w:rsid w:val="00917BA9"/>
    <w:rsid w:val="009322FC"/>
    <w:rsid w:val="0093585D"/>
    <w:rsid w:val="00942169"/>
    <w:rsid w:val="00951E29"/>
    <w:rsid w:val="00973B85"/>
    <w:rsid w:val="00974010"/>
    <w:rsid w:val="00980C66"/>
    <w:rsid w:val="00987AAB"/>
    <w:rsid w:val="00992435"/>
    <w:rsid w:val="009936AF"/>
    <w:rsid w:val="009969B8"/>
    <w:rsid w:val="0099767E"/>
    <w:rsid w:val="009B01E4"/>
    <w:rsid w:val="009B4F8E"/>
    <w:rsid w:val="009C0D54"/>
    <w:rsid w:val="009E23C1"/>
    <w:rsid w:val="009E508C"/>
    <w:rsid w:val="009E5A97"/>
    <w:rsid w:val="009E75BC"/>
    <w:rsid w:val="009F456B"/>
    <w:rsid w:val="009F7E93"/>
    <w:rsid w:val="00A001DA"/>
    <w:rsid w:val="00A05AA8"/>
    <w:rsid w:val="00A1272D"/>
    <w:rsid w:val="00A150DE"/>
    <w:rsid w:val="00A167A5"/>
    <w:rsid w:val="00A213D7"/>
    <w:rsid w:val="00A244B6"/>
    <w:rsid w:val="00A264AB"/>
    <w:rsid w:val="00A30FB7"/>
    <w:rsid w:val="00A348DA"/>
    <w:rsid w:val="00A448D0"/>
    <w:rsid w:val="00A52F17"/>
    <w:rsid w:val="00A54393"/>
    <w:rsid w:val="00A55E06"/>
    <w:rsid w:val="00A566AE"/>
    <w:rsid w:val="00A66D0C"/>
    <w:rsid w:val="00A7336E"/>
    <w:rsid w:val="00A775E7"/>
    <w:rsid w:val="00A83305"/>
    <w:rsid w:val="00A86978"/>
    <w:rsid w:val="00A923A6"/>
    <w:rsid w:val="00A93229"/>
    <w:rsid w:val="00A94A3F"/>
    <w:rsid w:val="00AA0626"/>
    <w:rsid w:val="00AA0695"/>
    <w:rsid w:val="00AA0EF7"/>
    <w:rsid w:val="00AB0BD5"/>
    <w:rsid w:val="00AB27CC"/>
    <w:rsid w:val="00AB2CC1"/>
    <w:rsid w:val="00AC45D0"/>
    <w:rsid w:val="00AD014F"/>
    <w:rsid w:val="00AD65DD"/>
    <w:rsid w:val="00AE1C54"/>
    <w:rsid w:val="00AE7D82"/>
    <w:rsid w:val="00AF4F41"/>
    <w:rsid w:val="00AF56D0"/>
    <w:rsid w:val="00B10307"/>
    <w:rsid w:val="00B13DBE"/>
    <w:rsid w:val="00B179E1"/>
    <w:rsid w:val="00B22F97"/>
    <w:rsid w:val="00B25510"/>
    <w:rsid w:val="00B317F3"/>
    <w:rsid w:val="00B31E74"/>
    <w:rsid w:val="00B41D50"/>
    <w:rsid w:val="00B506ED"/>
    <w:rsid w:val="00B55407"/>
    <w:rsid w:val="00B60254"/>
    <w:rsid w:val="00B6794E"/>
    <w:rsid w:val="00B759D9"/>
    <w:rsid w:val="00B75FE8"/>
    <w:rsid w:val="00BA669E"/>
    <w:rsid w:val="00BB1F2D"/>
    <w:rsid w:val="00BB3301"/>
    <w:rsid w:val="00BC0D19"/>
    <w:rsid w:val="00BC5C40"/>
    <w:rsid w:val="00BC68F4"/>
    <w:rsid w:val="00BD5DA9"/>
    <w:rsid w:val="00BD656D"/>
    <w:rsid w:val="00BD7875"/>
    <w:rsid w:val="00BE4359"/>
    <w:rsid w:val="00BE5F73"/>
    <w:rsid w:val="00BE782A"/>
    <w:rsid w:val="00BF09ED"/>
    <w:rsid w:val="00BF0BAA"/>
    <w:rsid w:val="00BF58CA"/>
    <w:rsid w:val="00BF60B2"/>
    <w:rsid w:val="00BF6EA5"/>
    <w:rsid w:val="00C064CA"/>
    <w:rsid w:val="00C23609"/>
    <w:rsid w:val="00C24414"/>
    <w:rsid w:val="00C27E63"/>
    <w:rsid w:val="00C36DF8"/>
    <w:rsid w:val="00C47EC9"/>
    <w:rsid w:val="00C533D5"/>
    <w:rsid w:val="00C579B1"/>
    <w:rsid w:val="00C62090"/>
    <w:rsid w:val="00C62D35"/>
    <w:rsid w:val="00C72CB7"/>
    <w:rsid w:val="00C81C0A"/>
    <w:rsid w:val="00C87FBE"/>
    <w:rsid w:val="00C905E2"/>
    <w:rsid w:val="00CA15BE"/>
    <w:rsid w:val="00CA2A05"/>
    <w:rsid w:val="00CB2442"/>
    <w:rsid w:val="00CB2C4B"/>
    <w:rsid w:val="00CB3DC2"/>
    <w:rsid w:val="00CB4B5A"/>
    <w:rsid w:val="00CB66A4"/>
    <w:rsid w:val="00CC1BAF"/>
    <w:rsid w:val="00CC1EFE"/>
    <w:rsid w:val="00CC5EA6"/>
    <w:rsid w:val="00CD02E1"/>
    <w:rsid w:val="00CD1157"/>
    <w:rsid w:val="00CE4B8F"/>
    <w:rsid w:val="00D35E53"/>
    <w:rsid w:val="00D401AB"/>
    <w:rsid w:val="00D40BBC"/>
    <w:rsid w:val="00D50C7B"/>
    <w:rsid w:val="00D53945"/>
    <w:rsid w:val="00D62657"/>
    <w:rsid w:val="00D716C7"/>
    <w:rsid w:val="00D82138"/>
    <w:rsid w:val="00D865FD"/>
    <w:rsid w:val="00D907B4"/>
    <w:rsid w:val="00D95980"/>
    <w:rsid w:val="00DA451B"/>
    <w:rsid w:val="00DA4BA1"/>
    <w:rsid w:val="00DA603A"/>
    <w:rsid w:val="00DB2A50"/>
    <w:rsid w:val="00DB4943"/>
    <w:rsid w:val="00DB74D5"/>
    <w:rsid w:val="00DC4DD8"/>
    <w:rsid w:val="00DE0D27"/>
    <w:rsid w:val="00DE1F03"/>
    <w:rsid w:val="00DE41CB"/>
    <w:rsid w:val="00E10AEA"/>
    <w:rsid w:val="00E167B3"/>
    <w:rsid w:val="00E16FF7"/>
    <w:rsid w:val="00E21456"/>
    <w:rsid w:val="00E23236"/>
    <w:rsid w:val="00E265FD"/>
    <w:rsid w:val="00E6085F"/>
    <w:rsid w:val="00E67EA4"/>
    <w:rsid w:val="00E723D2"/>
    <w:rsid w:val="00E731CE"/>
    <w:rsid w:val="00E77656"/>
    <w:rsid w:val="00E808BD"/>
    <w:rsid w:val="00E82A0B"/>
    <w:rsid w:val="00E877EC"/>
    <w:rsid w:val="00E908D4"/>
    <w:rsid w:val="00E90C8E"/>
    <w:rsid w:val="00E929F0"/>
    <w:rsid w:val="00EA2DEA"/>
    <w:rsid w:val="00EA4078"/>
    <w:rsid w:val="00EA5377"/>
    <w:rsid w:val="00EC1BA0"/>
    <w:rsid w:val="00EC40FE"/>
    <w:rsid w:val="00ED73F0"/>
    <w:rsid w:val="00EE0AB2"/>
    <w:rsid w:val="00EF1C67"/>
    <w:rsid w:val="00EF2B61"/>
    <w:rsid w:val="00EF7542"/>
    <w:rsid w:val="00F01F88"/>
    <w:rsid w:val="00F0246B"/>
    <w:rsid w:val="00F031FB"/>
    <w:rsid w:val="00F05C95"/>
    <w:rsid w:val="00F07A12"/>
    <w:rsid w:val="00F10A16"/>
    <w:rsid w:val="00F13DDF"/>
    <w:rsid w:val="00F35300"/>
    <w:rsid w:val="00F63041"/>
    <w:rsid w:val="00F63325"/>
    <w:rsid w:val="00F74031"/>
    <w:rsid w:val="00F74352"/>
    <w:rsid w:val="00F93B06"/>
    <w:rsid w:val="00FA5D86"/>
    <w:rsid w:val="00FB1671"/>
    <w:rsid w:val="00FB2BB4"/>
    <w:rsid w:val="00FC4855"/>
    <w:rsid w:val="00FD12B2"/>
    <w:rsid w:val="00FD1C48"/>
    <w:rsid w:val="00FD44BC"/>
    <w:rsid w:val="00FF06DE"/>
    <w:rsid w:val="00FF279F"/>
    <w:rsid w:val="00FF3A72"/>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329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longtext">
    <w:name w:val="long_text"/>
    <w:basedOn w:val="Policepardfaut"/>
    <w:rsid w:val="0057329F"/>
  </w:style>
  <w:style w:type="character" w:customStyle="1" w:styleId="hps">
    <w:name w:val="hps"/>
    <w:basedOn w:val="Policepardfaut"/>
    <w:rsid w:val="0057329F"/>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475</Words>
  <Characters>2618</Characters>
  <Application>Microsoft Office Word</Application>
  <DocSecurity>0</DocSecurity>
  <Lines>21</Lines>
  <Paragraphs>6</Paragraphs>
  <ScaleCrop>false</ScaleCrop>
  <Company>RAWA</Company>
  <LinksUpToDate>false</LinksUpToDate>
  <CharactersWithSpaces>3087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Abderrezak</dc:creator>
  <cp:keywords/>
  <dc:description/>
  <cp:lastModifiedBy>Abderrezak</cp:lastModifiedBy>
  <cp:revision>1</cp:revision>
  <cp:lastPrinted>2016-03-14T13:31:00Z</cp:lastPrinted>
  <dcterms:created xsi:type="dcterms:W3CDTF">2016-03-14T13:30:00Z</dcterms:created>
  <dcterms:modified xsi:type="dcterms:W3CDTF">2016-03-14T13:32:00Z</dcterms:modified>
</cp:coreProperties>
</file>