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7ABB" w:rsidRDefault="00EC7ABB" w:rsidP="00EC7ABB">
      <w:pPr>
        <w:spacing w:after="0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EC7ABB" w:rsidRDefault="00EC7ABB" w:rsidP="00EC7ABB">
      <w:pPr>
        <w:spacing w:after="0"/>
        <w:jc w:val="center"/>
        <w:rPr>
          <w:noProof/>
          <w:lang w:eastAsia="fr-FR"/>
        </w:rPr>
      </w:pPr>
    </w:p>
    <w:p w:rsidR="00EC7ABB" w:rsidRDefault="00EC7ABB" w:rsidP="00EC7ABB">
      <w:pPr>
        <w:spacing w:after="0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noProof/>
          <w:lang w:eastAsia="fr-FR"/>
        </w:rPr>
        <w:drawing>
          <wp:inline distT="0" distB="0" distL="0" distR="0" wp14:anchorId="076E32F3" wp14:editId="44BE88C9">
            <wp:extent cx="1293963" cy="766793"/>
            <wp:effectExtent l="0" t="0" r="1905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314239" cy="7788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7ABB" w:rsidRDefault="00EC7ABB" w:rsidP="00EC7ABB">
      <w:pPr>
        <w:spacing w:after="0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61577C" w:rsidRPr="00BE1C53" w:rsidRDefault="00EC7ABB" w:rsidP="00BE1C5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BE1C53">
        <w:rPr>
          <w:rFonts w:ascii="Arial Narrow" w:hAnsi="Arial Narrow"/>
          <w:b/>
          <w:bCs/>
          <w:sz w:val="24"/>
          <w:szCs w:val="24"/>
        </w:rPr>
        <w:t>Préparation et caractérisation de nouveaux complexes hybrides organiques-inorganiques à topologies variées dérivés d’acides carboxyliques conjugués et/ou ligands azotés ou soufrés. Etude de leurs propriétés.</w:t>
      </w:r>
    </w:p>
    <w:p w:rsidR="00EC7ABB" w:rsidRPr="00BE1C53" w:rsidRDefault="00EC7ABB" w:rsidP="00BE1C53">
      <w:pPr>
        <w:spacing w:line="360" w:lineRule="auto"/>
        <w:jc w:val="both"/>
        <w:rPr>
          <w:rFonts w:ascii="Arial Narrow" w:hAnsi="Arial Narrow"/>
        </w:rPr>
      </w:pPr>
    </w:p>
    <w:p w:rsidR="00EC7ABB" w:rsidRPr="00BE1C53" w:rsidRDefault="00EC7ABB" w:rsidP="00BE1C53">
      <w:pPr>
        <w:spacing w:line="360" w:lineRule="auto"/>
        <w:jc w:val="center"/>
        <w:rPr>
          <w:rFonts w:ascii="Arial Narrow" w:hAnsi="Arial Narrow"/>
          <w:b/>
          <w:bCs/>
        </w:rPr>
      </w:pPr>
      <w:r w:rsidRPr="00BE1C53">
        <w:rPr>
          <w:rFonts w:ascii="Arial Narrow" w:hAnsi="Arial Narrow"/>
        </w:rPr>
        <w:t xml:space="preserve">Par </w:t>
      </w:r>
      <w:proofErr w:type="spellStart"/>
      <w:r w:rsidRPr="00BE1C53">
        <w:rPr>
          <w:rFonts w:ascii="Arial Narrow" w:hAnsi="Arial Narrow"/>
          <w:b/>
          <w:bCs/>
        </w:rPr>
        <w:t>Aouaouche</w:t>
      </w:r>
      <w:proofErr w:type="spellEnd"/>
      <w:r w:rsidRPr="00BE1C53">
        <w:rPr>
          <w:rFonts w:ascii="Arial Narrow" w:hAnsi="Arial Narrow"/>
          <w:b/>
          <w:bCs/>
        </w:rPr>
        <w:t xml:space="preserve"> BENKANOUN</w:t>
      </w:r>
    </w:p>
    <w:p w:rsidR="00EC7ABB" w:rsidRPr="00BE1C53" w:rsidRDefault="00EC7ABB" w:rsidP="00BE1C53">
      <w:pPr>
        <w:spacing w:line="360" w:lineRule="auto"/>
        <w:jc w:val="center"/>
        <w:rPr>
          <w:rFonts w:ascii="Arial Narrow" w:hAnsi="Arial Narrow"/>
        </w:rPr>
      </w:pPr>
      <w:r w:rsidRPr="00BE1C53">
        <w:rPr>
          <w:rFonts w:ascii="Arial Narrow" w:hAnsi="Arial Narrow"/>
        </w:rPr>
        <w:t>Laboratoire de Cristallographie-Thermodynamique, Faculté de Chimie, USTHB</w:t>
      </w:r>
    </w:p>
    <w:p w:rsidR="00EC7ABB" w:rsidRPr="00BE1C53" w:rsidRDefault="00EC7ABB" w:rsidP="00BE1C53">
      <w:pPr>
        <w:spacing w:line="360" w:lineRule="auto"/>
        <w:jc w:val="both"/>
        <w:rPr>
          <w:rFonts w:ascii="Arial Narrow" w:hAnsi="Arial Narrow"/>
        </w:rPr>
      </w:pPr>
    </w:p>
    <w:p w:rsidR="00EC7ABB" w:rsidRPr="00BE1C53" w:rsidRDefault="00C92C18" w:rsidP="00BE1C53">
      <w:pPr>
        <w:spacing w:line="360" w:lineRule="auto"/>
        <w:jc w:val="both"/>
        <w:rPr>
          <w:rFonts w:ascii="Arial Narrow" w:hAnsi="Arial Narrow"/>
        </w:rPr>
      </w:pPr>
      <w:r w:rsidRPr="00BE1C53">
        <w:rPr>
          <w:rFonts w:ascii="Arial Narrow" w:hAnsi="Arial Narrow"/>
        </w:rPr>
        <w:tab/>
      </w:r>
      <w:r w:rsidR="00EC7ABB" w:rsidRPr="00BE1C53">
        <w:rPr>
          <w:rFonts w:ascii="Arial Narrow" w:hAnsi="Arial Narrow"/>
        </w:rPr>
        <w:t>Les polymères</w:t>
      </w:r>
      <w:r w:rsidRPr="00BE1C53">
        <w:rPr>
          <w:rFonts w:ascii="Arial Narrow" w:hAnsi="Arial Narrow"/>
        </w:rPr>
        <w:t xml:space="preserve"> de</w:t>
      </w:r>
      <w:r w:rsidR="00EC7ABB" w:rsidRPr="00BE1C53">
        <w:rPr>
          <w:rFonts w:ascii="Arial Narrow" w:hAnsi="Arial Narrow"/>
        </w:rPr>
        <w:t xml:space="preserve"> </w:t>
      </w:r>
      <w:r w:rsidR="009A0833" w:rsidRPr="00BE1C53">
        <w:rPr>
          <w:rFonts w:ascii="Arial Narrow" w:hAnsi="Arial Narrow"/>
        </w:rPr>
        <w:t xml:space="preserve">coordination </w:t>
      </w:r>
      <w:r w:rsidR="00BE1C53" w:rsidRPr="00BE1C53">
        <w:rPr>
          <w:rFonts w:ascii="Arial Narrow" w:hAnsi="Arial Narrow"/>
        </w:rPr>
        <w:t xml:space="preserve">constituent </w:t>
      </w:r>
      <w:proofErr w:type="gramStart"/>
      <w:r w:rsidR="00BE1C53" w:rsidRPr="00BE1C53">
        <w:rPr>
          <w:rFonts w:ascii="Arial Narrow" w:hAnsi="Arial Narrow"/>
        </w:rPr>
        <w:t>une</w:t>
      </w:r>
      <w:r w:rsidR="00EC7ABB" w:rsidRPr="00BE1C53">
        <w:rPr>
          <w:rFonts w:ascii="Arial Narrow" w:hAnsi="Arial Narrow"/>
        </w:rPr>
        <w:t xml:space="preserve">  classe</w:t>
      </w:r>
      <w:proofErr w:type="gramEnd"/>
      <w:r w:rsidR="00EC7ABB" w:rsidRPr="00BE1C53">
        <w:rPr>
          <w:rFonts w:ascii="Arial Narrow" w:hAnsi="Arial Narrow"/>
        </w:rPr>
        <w:t xml:space="preserve">  de matériaux très étudiée comme en témoigne le grand nombre de travaux publiés. Ces composés également connus sous le nom de  matériaux  organiques-inorganiques,  </w:t>
      </w:r>
      <w:proofErr w:type="spellStart"/>
      <w:r w:rsidR="00EC7ABB" w:rsidRPr="00BE1C53">
        <w:rPr>
          <w:rFonts w:ascii="Arial Narrow" w:hAnsi="Arial Narrow"/>
        </w:rPr>
        <w:t>metal-organic</w:t>
      </w:r>
      <w:proofErr w:type="spellEnd"/>
      <w:r w:rsidR="00EC7ABB" w:rsidRPr="00BE1C53">
        <w:rPr>
          <w:rFonts w:ascii="Arial Narrow" w:hAnsi="Arial Narrow"/>
        </w:rPr>
        <w:t xml:space="preserve"> coordination networks (</w:t>
      </w:r>
      <w:proofErr w:type="spellStart"/>
      <w:r w:rsidR="00EC7ABB" w:rsidRPr="00BE1C53">
        <w:rPr>
          <w:rFonts w:ascii="Arial Narrow" w:hAnsi="Arial Narrow"/>
        </w:rPr>
        <w:t>MOCNs</w:t>
      </w:r>
      <w:proofErr w:type="spellEnd"/>
      <w:r w:rsidR="00EC7ABB" w:rsidRPr="00BE1C53">
        <w:rPr>
          <w:rFonts w:ascii="Arial Narrow" w:hAnsi="Arial Narrow"/>
        </w:rPr>
        <w:t xml:space="preserve">) ou encore </w:t>
      </w:r>
      <w:proofErr w:type="spellStart"/>
      <w:r w:rsidR="00EC7ABB" w:rsidRPr="00BE1C53">
        <w:rPr>
          <w:rFonts w:ascii="Arial Narrow" w:hAnsi="Arial Narrow"/>
        </w:rPr>
        <w:t>metal-organic</w:t>
      </w:r>
      <w:proofErr w:type="spellEnd"/>
      <w:r w:rsidR="00EC7ABB" w:rsidRPr="00BE1C53">
        <w:rPr>
          <w:rFonts w:ascii="Arial Narrow" w:hAnsi="Arial Narrow"/>
        </w:rPr>
        <w:t xml:space="preserve"> </w:t>
      </w:r>
      <w:proofErr w:type="spellStart"/>
      <w:r w:rsidR="00EC7ABB" w:rsidRPr="00BE1C53">
        <w:rPr>
          <w:rFonts w:ascii="Arial Narrow" w:hAnsi="Arial Narrow"/>
        </w:rPr>
        <w:t>framworks</w:t>
      </w:r>
      <w:proofErr w:type="spellEnd"/>
      <w:r w:rsidR="00EC7ABB" w:rsidRPr="00BE1C53">
        <w:rPr>
          <w:rFonts w:ascii="Arial Narrow" w:hAnsi="Arial Narrow"/>
        </w:rPr>
        <w:t xml:space="preserve"> (</w:t>
      </w:r>
      <w:proofErr w:type="spellStart"/>
      <w:r w:rsidR="00EC7ABB" w:rsidRPr="00BE1C53">
        <w:rPr>
          <w:rFonts w:ascii="Arial Narrow" w:hAnsi="Arial Narrow"/>
        </w:rPr>
        <w:t>MOFs</w:t>
      </w:r>
      <w:proofErr w:type="spellEnd"/>
      <w:r w:rsidR="00EC7ABB" w:rsidRPr="00BE1C53">
        <w:rPr>
          <w:rFonts w:ascii="Arial Narrow" w:hAnsi="Arial Narrow"/>
        </w:rPr>
        <w:t xml:space="preserve">) résultent d’assemblages par des liaisons non covalentes, combinant de façon unique la richesse des géométries autour des centres métalliques  à  la  grande  diversité  des  modes  de  coordination  des  ligands  carboxylates.  En  vue  de synthétiser des polymères de coordination à base de métaux de transition et/ou d’alcalino-terreux et de ligands  mixtes,  nous  avons  opté  pour  les  ligands  organiques  suivants  :  acide  </w:t>
      </w:r>
      <w:proofErr w:type="spellStart"/>
      <w:r w:rsidR="00EC7ABB" w:rsidRPr="00BE1C53">
        <w:rPr>
          <w:rFonts w:ascii="Arial Narrow" w:hAnsi="Arial Narrow"/>
        </w:rPr>
        <w:t>diphénique</w:t>
      </w:r>
      <w:proofErr w:type="spellEnd"/>
      <w:r w:rsidR="00EC7ABB" w:rsidRPr="00BE1C53">
        <w:rPr>
          <w:rFonts w:ascii="Arial Narrow" w:hAnsi="Arial Narrow"/>
        </w:rPr>
        <w:t>,  acide o-</w:t>
      </w:r>
      <w:proofErr w:type="spellStart"/>
      <w:r w:rsidR="00EC7ABB" w:rsidRPr="00BE1C53">
        <w:rPr>
          <w:rFonts w:ascii="Arial Narrow" w:hAnsi="Arial Narrow"/>
        </w:rPr>
        <w:t>phthalique</w:t>
      </w:r>
      <w:proofErr w:type="spellEnd"/>
      <w:r w:rsidR="00EC7ABB" w:rsidRPr="00BE1C53">
        <w:rPr>
          <w:rFonts w:ascii="Arial Narrow" w:hAnsi="Arial Narrow"/>
        </w:rPr>
        <w:t xml:space="preserve"> et  ses  deux  isomères  ,  l’acide  2,5-thiophène </w:t>
      </w:r>
      <w:proofErr w:type="spellStart"/>
      <w:r w:rsidR="00EC7ABB" w:rsidRPr="00BE1C53">
        <w:rPr>
          <w:rFonts w:ascii="Arial Narrow" w:hAnsi="Arial Narrow"/>
        </w:rPr>
        <w:t>dicarboxylique</w:t>
      </w:r>
      <w:proofErr w:type="spellEnd"/>
      <w:r w:rsidR="00EC7ABB" w:rsidRPr="00BE1C53">
        <w:rPr>
          <w:rFonts w:ascii="Arial Narrow" w:hAnsi="Arial Narrow"/>
        </w:rPr>
        <w:t xml:space="preserve"> et l’imidazole.</w:t>
      </w:r>
      <w:bookmarkStart w:id="0" w:name="_GoBack"/>
      <w:bookmarkEnd w:id="0"/>
    </w:p>
    <w:p w:rsidR="00EC7ABB" w:rsidRPr="00BE1C53" w:rsidRDefault="00EC7ABB" w:rsidP="00BE1C53">
      <w:pPr>
        <w:jc w:val="both"/>
        <w:rPr>
          <w:sz w:val="20"/>
          <w:szCs w:val="20"/>
        </w:rPr>
      </w:pPr>
    </w:p>
    <w:sectPr w:rsidR="00EC7ABB" w:rsidRPr="00BE1C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7ABB" w:rsidRDefault="00EC7ABB" w:rsidP="00EC7ABB">
      <w:pPr>
        <w:spacing w:after="0" w:line="240" w:lineRule="auto"/>
      </w:pPr>
      <w:r>
        <w:separator/>
      </w:r>
    </w:p>
  </w:endnote>
  <w:endnote w:type="continuationSeparator" w:id="0">
    <w:p w:rsidR="00EC7ABB" w:rsidRDefault="00EC7ABB" w:rsidP="00EC7A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7ABB" w:rsidRDefault="00EC7ABB" w:rsidP="00EC7ABB">
      <w:pPr>
        <w:spacing w:after="0" w:line="240" w:lineRule="auto"/>
      </w:pPr>
      <w:r>
        <w:separator/>
      </w:r>
    </w:p>
  </w:footnote>
  <w:footnote w:type="continuationSeparator" w:id="0">
    <w:p w:rsidR="00EC7ABB" w:rsidRDefault="00EC7ABB" w:rsidP="00EC7AB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7ABB"/>
    <w:rsid w:val="00290837"/>
    <w:rsid w:val="002C20D5"/>
    <w:rsid w:val="00344BCC"/>
    <w:rsid w:val="003E4FD5"/>
    <w:rsid w:val="0043267E"/>
    <w:rsid w:val="00687EA3"/>
    <w:rsid w:val="00705F1D"/>
    <w:rsid w:val="00792B15"/>
    <w:rsid w:val="007F78E7"/>
    <w:rsid w:val="008B0E46"/>
    <w:rsid w:val="009A0833"/>
    <w:rsid w:val="009C4CC8"/>
    <w:rsid w:val="00B01165"/>
    <w:rsid w:val="00B36340"/>
    <w:rsid w:val="00BE1C53"/>
    <w:rsid w:val="00C92C18"/>
    <w:rsid w:val="00D10E8D"/>
    <w:rsid w:val="00EC7ABB"/>
    <w:rsid w:val="00FA2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BE53FD7-FC48-4BE0-B062-D2751F6A5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C7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C7ABB"/>
  </w:style>
  <w:style w:type="paragraph" w:styleId="Pieddepage">
    <w:name w:val="footer"/>
    <w:basedOn w:val="Normal"/>
    <w:link w:val="PieddepageCar"/>
    <w:uiPriority w:val="99"/>
    <w:unhideWhenUsed/>
    <w:rsid w:val="00EC7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C7A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179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2016-09-18T18:14:00Z</dcterms:created>
  <dcterms:modified xsi:type="dcterms:W3CDTF">2016-09-18T18:54:00Z</dcterms:modified>
</cp:coreProperties>
</file>