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ED2" w:rsidRPr="00073510" w:rsidRDefault="00805ED2" w:rsidP="00805ED2">
      <w:pPr>
        <w:spacing w:after="0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073510">
        <w:rPr>
          <w:rStyle w:val="hps"/>
          <w:rFonts w:asciiTheme="majorBidi" w:hAnsiTheme="majorBidi"/>
          <w:b/>
          <w:bCs/>
          <w:sz w:val="24"/>
          <w:szCs w:val="24"/>
        </w:rPr>
        <w:t>RESUME</w:t>
      </w:r>
    </w:p>
    <w:p w:rsidR="00805ED2" w:rsidRDefault="00805ED2" w:rsidP="00805ED2">
      <w:pPr>
        <w:spacing w:after="0"/>
        <w:jc w:val="center"/>
        <w:rPr>
          <w:rFonts w:asciiTheme="majorBidi" w:hAnsiTheme="majorBidi" w:cstheme="majorBidi"/>
          <w:sz w:val="24"/>
          <w:szCs w:val="24"/>
        </w:rPr>
      </w:pPr>
    </w:p>
    <w:p w:rsidR="00805ED2" w:rsidRPr="00156D5F" w:rsidRDefault="00805ED2" w:rsidP="00805ED2">
      <w:pPr>
        <w:spacing w:after="0"/>
        <w:jc w:val="center"/>
        <w:rPr>
          <w:b/>
          <w:bCs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« </w:t>
      </w:r>
      <w:r w:rsidRPr="00156D5F">
        <w:rPr>
          <w:rFonts w:asciiTheme="majorBidi" w:hAnsiTheme="majorBidi" w:cstheme="majorBidi"/>
          <w:b/>
          <w:bCs/>
          <w:sz w:val="24"/>
          <w:szCs w:val="24"/>
        </w:rPr>
        <w:t xml:space="preserve">Régulation de l’activité </w:t>
      </w:r>
      <w:proofErr w:type="spellStart"/>
      <w:r w:rsidRPr="00156D5F">
        <w:rPr>
          <w:rFonts w:asciiTheme="majorBidi" w:hAnsiTheme="majorBidi" w:cstheme="majorBidi"/>
          <w:b/>
          <w:bCs/>
          <w:sz w:val="24"/>
          <w:szCs w:val="24"/>
        </w:rPr>
        <w:t>corticosurrénalienne</w:t>
      </w:r>
      <w:proofErr w:type="spellEnd"/>
      <w:r w:rsidRPr="00156D5F">
        <w:rPr>
          <w:rFonts w:asciiTheme="majorBidi" w:hAnsiTheme="majorBidi" w:cstheme="majorBidi"/>
          <w:b/>
          <w:bCs/>
          <w:sz w:val="24"/>
          <w:szCs w:val="24"/>
        </w:rPr>
        <w:t xml:space="preserve"> par les androgènes testiculaires chez le rat des sables </w:t>
      </w:r>
      <w:proofErr w:type="spellStart"/>
      <w:r w:rsidRPr="00156D5F">
        <w:rPr>
          <w:rFonts w:asciiTheme="majorBidi" w:hAnsiTheme="majorBidi" w:cstheme="majorBidi"/>
          <w:b/>
          <w:bCs/>
          <w:i/>
          <w:sz w:val="24"/>
          <w:szCs w:val="24"/>
        </w:rPr>
        <w:t>Psammomys</w:t>
      </w:r>
      <w:proofErr w:type="spellEnd"/>
      <w:r w:rsidRPr="00156D5F">
        <w:rPr>
          <w:rFonts w:asciiTheme="majorBidi" w:hAnsiTheme="majorBidi" w:cstheme="majorBidi"/>
          <w:b/>
          <w:bCs/>
          <w:i/>
          <w:sz w:val="24"/>
          <w:szCs w:val="24"/>
        </w:rPr>
        <w:t xml:space="preserve"> </w:t>
      </w:r>
      <w:proofErr w:type="spellStart"/>
      <w:r w:rsidRPr="00156D5F">
        <w:rPr>
          <w:rFonts w:asciiTheme="majorBidi" w:hAnsiTheme="majorBidi" w:cstheme="majorBidi"/>
          <w:b/>
          <w:bCs/>
          <w:i/>
          <w:sz w:val="24"/>
          <w:szCs w:val="24"/>
        </w:rPr>
        <w:t>obesus</w:t>
      </w:r>
      <w:proofErr w:type="spellEnd"/>
      <w:r>
        <w:rPr>
          <w:rFonts w:asciiTheme="majorBidi" w:hAnsiTheme="majorBidi" w:cstheme="majorBidi"/>
          <w:b/>
          <w:bCs/>
          <w:i/>
          <w:sz w:val="24"/>
          <w:szCs w:val="24"/>
        </w:rPr>
        <w:t xml:space="preserve"> </w:t>
      </w:r>
      <w:r w:rsidRPr="00156D5F">
        <w:rPr>
          <w:rFonts w:asciiTheme="majorBidi" w:hAnsiTheme="majorBidi" w:cstheme="majorBidi"/>
          <w:b/>
          <w:bCs/>
          <w:iCs/>
          <w:sz w:val="24"/>
          <w:szCs w:val="24"/>
        </w:rPr>
        <w:t>»</w:t>
      </w:r>
    </w:p>
    <w:p w:rsidR="00805ED2" w:rsidRDefault="00805ED2" w:rsidP="00805ED2">
      <w:pPr>
        <w:spacing w:after="0"/>
        <w:ind w:firstLine="284"/>
        <w:jc w:val="both"/>
        <w:rPr>
          <w:rStyle w:val="hps"/>
          <w:rFonts w:asciiTheme="majorBidi" w:hAnsiTheme="majorBidi"/>
          <w:sz w:val="24"/>
          <w:szCs w:val="24"/>
        </w:rPr>
      </w:pPr>
    </w:p>
    <w:p w:rsidR="00805ED2" w:rsidRDefault="00805ED2" w:rsidP="00805ED2">
      <w:pPr>
        <w:spacing w:after="0"/>
        <w:ind w:firstLine="284"/>
        <w:jc w:val="both"/>
        <w:rPr>
          <w:rStyle w:val="hps"/>
          <w:rFonts w:asciiTheme="majorBidi" w:hAnsiTheme="majorBidi"/>
          <w:sz w:val="24"/>
          <w:szCs w:val="24"/>
        </w:rPr>
      </w:pPr>
    </w:p>
    <w:p w:rsidR="00805ED2" w:rsidRPr="00765EF7" w:rsidRDefault="00805ED2" w:rsidP="00916F85">
      <w:pPr>
        <w:spacing w:after="0"/>
        <w:ind w:firstLine="284"/>
        <w:jc w:val="both"/>
        <w:rPr>
          <w:rFonts w:asciiTheme="majorBidi" w:hAnsiTheme="majorBidi" w:cstheme="majorBidi"/>
          <w:sz w:val="24"/>
          <w:szCs w:val="24"/>
        </w:rPr>
      </w:pPr>
      <w:r w:rsidRPr="00765EF7">
        <w:rPr>
          <w:rStyle w:val="hps"/>
          <w:rFonts w:asciiTheme="majorBidi" w:hAnsiTheme="majorBidi"/>
          <w:sz w:val="24"/>
          <w:szCs w:val="24"/>
        </w:rPr>
        <w:t xml:space="preserve">Dans son biotope naturel, </w:t>
      </w:r>
      <w:r>
        <w:rPr>
          <w:rStyle w:val="hps"/>
          <w:rFonts w:asciiTheme="majorBidi" w:hAnsiTheme="majorBidi"/>
          <w:sz w:val="24"/>
          <w:szCs w:val="24"/>
        </w:rPr>
        <w:t>l</w:t>
      </w:r>
      <w:r w:rsidRPr="00765EF7">
        <w:rPr>
          <w:rStyle w:val="hps"/>
          <w:rFonts w:asciiTheme="majorBidi" w:hAnsiTheme="majorBidi"/>
          <w:sz w:val="24"/>
          <w:szCs w:val="24"/>
        </w:rPr>
        <w:t>e rat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de</w:t>
      </w:r>
      <w:r>
        <w:rPr>
          <w:rStyle w:val="hps"/>
          <w:rFonts w:asciiTheme="majorBidi" w:hAnsiTheme="majorBidi"/>
          <w:sz w:val="24"/>
          <w:szCs w:val="24"/>
        </w:rPr>
        <w:t>s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sables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65EF7">
        <w:rPr>
          <w:rStyle w:val="hps"/>
          <w:rFonts w:asciiTheme="majorBidi" w:hAnsiTheme="majorBidi"/>
          <w:i/>
          <w:iCs/>
          <w:sz w:val="24"/>
          <w:szCs w:val="24"/>
        </w:rPr>
        <w:t>Psammomys</w:t>
      </w:r>
      <w:proofErr w:type="spellEnd"/>
      <w:r w:rsidRPr="00765EF7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765EF7">
        <w:rPr>
          <w:rStyle w:val="hps"/>
          <w:rFonts w:asciiTheme="majorBidi" w:hAnsiTheme="majorBidi"/>
          <w:i/>
          <w:iCs/>
          <w:sz w:val="24"/>
          <w:szCs w:val="24"/>
        </w:rPr>
        <w:t>obesus</w:t>
      </w:r>
      <w:proofErr w:type="spellEnd"/>
      <w:r w:rsidRPr="00765EF7">
        <w:rPr>
          <w:rFonts w:asciiTheme="majorBidi" w:hAnsiTheme="majorBidi" w:cstheme="majorBidi"/>
          <w:sz w:val="24"/>
          <w:szCs w:val="24"/>
        </w:rPr>
        <w:t>, présente de</w:t>
      </w:r>
      <w:r w:rsidRPr="00765EF7">
        <w:rPr>
          <w:rStyle w:val="hps"/>
          <w:rFonts w:asciiTheme="majorBidi" w:hAnsiTheme="majorBidi"/>
          <w:sz w:val="24"/>
          <w:szCs w:val="24"/>
        </w:rPr>
        <w:t>s variations saisonnières de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 xml:space="preserve">l'activité </w:t>
      </w:r>
      <w:proofErr w:type="spellStart"/>
      <w:r w:rsidRPr="00765EF7">
        <w:rPr>
          <w:rStyle w:val="hps"/>
          <w:rFonts w:asciiTheme="majorBidi" w:hAnsiTheme="majorBidi"/>
          <w:sz w:val="24"/>
          <w:szCs w:val="24"/>
        </w:rPr>
        <w:t>corticosurrénalienne</w:t>
      </w:r>
      <w:proofErr w:type="spellEnd"/>
      <w:r w:rsidRPr="00765EF7">
        <w:rPr>
          <w:rStyle w:val="hps"/>
          <w:rFonts w:asciiTheme="majorBidi" w:hAnsiTheme="majorBidi"/>
          <w:sz w:val="24"/>
          <w:szCs w:val="24"/>
        </w:rPr>
        <w:t xml:space="preserve"> </w:t>
      </w:r>
      <w:r w:rsidRPr="00DC1DBC">
        <w:rPr>
          <w:rStyle w:val="hps"/>
          <w:rFonts w:asciiTheme="majorBidi" w:hAnsiTheme="majorBidi"/>
          <w:color w:val="000000" w:themeColor="text1"/>
          <w:sz w:val="24"/>
          <w:szCs w:val="24"/>
        </w:rPr>
        <w:t>parallèles à celles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de l'activité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testiculaire</w:t>
      </w:r>
      <w:r w:rsidRPr="00765EF7">
        <w:rPr>
          <w:rFonts w:asciiTheme="majorBidi" w:hAnsiTheme="majorBidi" w:cstheme="majorBidi"/>
          <w:sz w:val="24"/>
          <w:szCs w:val="24"/>
        </w:rPr>
        <w:t xml:space="preserve">, </w:t>
      </w:r>
      <w:r w:rsidRPr="00765EF7">
        <w:rPr>
          <w:rStyle w:val="hps"/>
          <w:rFonts w:asciiTheme="majorBidi" w:hAnsiTheme="majorBidi"/>
          <w:sz w:val="24"/>
          <w:szCs w:val="24"/>
        </w:rPr>
        <w:t>indiquant</w:t>
      </w:r>
      <w:r w:rsidRPr="00765EF7">
        <w:rPr>
          <w:rFonts w:asciiTheme="majorBidi" w:hAnsiTheme="majorBidi" w:cstheme="majorBidi"/>
          <w:sz w:val="24"/>
          <w:szCs w:val="24"/>
        </w:rPr>
        <w:t xml:space="preserve"> une r</w:t>
      </w:r>
      <w:r w:rsidRPr="00765EF7">
        <w:rPr>
          <w:rFonts w:asciiTheme="majorBidi" w:hAnsiTheme="majorBidi" w:cstheme="majorBidi"/>
          <w:sz w:val="24"/>
          <w:szCs w:val="24"/>
          <w:lang w:bidi="ar-DZ"/>
        </w:rPr>
        <w:t>elation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fonctionnelle entre l’axe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65EF7">
        <w:rPr>
          <w:rStyle w:val="hps"/>
          <w:rFonts w:asciiTheme="majorBidi" w:hAnsiTheme="majorBidi"/>
          <w:sz w:val="24"/>
          <w:szCs w:val="24"/>
        </w:rPr>
        <w:t>hypothalmo</w:t>
      </w:r>
      <w:proofErr w:type="spellEnd"/>
      <w:r w:rsidRPr="00765EF7">
        <w:rPr>
          <w:rStyle w:val="atn"/>
          <w:rFonts w:asciiTheme="majorBidi" w:hAnsiTheme="majorBidi"/>
          <w:sz w:val="24"/>
          <w:szCs w:val="24"/>
        </w:rPr>
        <w:t>-</w:t>
      </w:r>
      <w:proofErr w:type="spellStart"/>
      <w:r w:rsidRPr="00765EF7">
        <w:rPr>
          <w:rStyle w:val="atn"/>
          <w:rFonts w:asciiTheme="majorBidi" w:hAnsiTheme="majorBidi"/>
          <w:sz w:val="24"/>
          <w:szCs w:val="24"/>
        </w:rPr>
        <w:t>hypophyso</w:t>
      </w:r>
      <w:proofErr w:type="spellEnd"/>
      <w:r w:rsidRPr="00765EF7">
        <w:rPr>
          <w:rStyle w:val="atn"/>
          <w:rFonts w:asciiTheme="majorBidi" w:hAnsiTheme="majorBidi"/>
          <w:sz w:val="24"/>
          <w:szCs w:val="24"/>
        </w:rPr>
        <w:t>-</w:t>
      </w:r>
      <w:r w:rsidRPr="00765EF7">
        <w:rPr>
          <w:rFonts w:asciiTheme="majorBidi" w:hAnsiTheme="majorBidi" w:cstheme="majorBidi"/>
          <w:sz w:val="24"/>
          <w:szCs w:val="24"/>
        </w:rPr>
        <w:t xml:space="preserve">surrénalien (HHS) </w:t>
      </w:r>
      <w:r w:rsidRPr="00765EF7">
        <w:rPr>
          <w:rStyle w:val="hps"/>
          <w:rFonts w:asciiTheme="majorBidi" w:hAnsiTheme="majorBidi"/>
          <w:sz w:val="24"/>
          <w:szCs w:val="24"/>
        </w:rPr>
        <w:t>et</w:t>
      </w:r>
      <w:r w:rsidRPr="00765EF7">
        <w:rPr>
          <w:rFonts w:asciiTheme="majorBidi" w:hAnsiTheme="majorBidi" w:cstheme="majorBidi"/>
          <w:sz w:val="24"/>
          <w:szCs w:val="24"/>
        </w:rPr>
        <w:t xml:space="preserve"> l’axe </w:t>
      </w:r>
      <w:proofErr w:type="spellStart"/>
      <w:r w:rsidRPr="00765EF7">
        <w:rPr>
          <w:rStyle w:val="hps"/>
          <w:rFonts w:asciiTheme="majorBidi" w:hAnsiTheme="majorBidi"/>
          <w:sz w:val="24"/>
          <w:szCs w:val="24"/>
        </w:rPr>
        <w:t>hypotha</w:t>
      </w:r>
      <w:r w:rsidRPr="00DC1DBC">
        <w:rPr>
          <w:rStyle w:val="hps"/>
          <w:rFonts w:asciiTheme="majorBidi" w:hAnsiTheme="majorBidi"/>
          <w:color w:val="000000" w:themeColor="text1"/>
          <w:sz w:val="24"/>
          <w:szCs w:val="24"/>
        </w:rPr>
        <w:t>la</w:t>
      </w:r>
      <w:r w:rsidRPr="00765EF7">
        <w:rPr>
          <w:rStyle w:val="hps"/>
          <w:rFonts w:asciiTheme="majorBidi" w:hAnsiTheme="majorBidi"/>
          <w:sz w:val="24"/>
          <w:szCs w:val="24"/>
        </w:rPr>
        <w:t>mo</w:t>
      </w:r>
      <w:proofErr w:type="spellEnd"/>
      <w:r w:rsidRPr="00765EF7">
        <w:rPr>
          <w:rFonts w:asciiTheme="majorBidi" w:hAnsiTheme="majorBidi" w:cstheme="majorBidi"/>
          <w:sz w:val="24"/>
          <w:szCs w:val="24"/>
        </w:rPr>
        <w:t>-</w:t>
      </w:r>
      <w:proofErr w:type="spellStart"/>
      <w:r w:rsidRPr="00765EF7">
        <w:rPr>
          <w:rFonts w:asciiTheme="majorBidi" w:hAnsiTheme="majorBidi" w:cstheme="majorBidi"/>
          <w:sz w:val="24"/>
          <w:szCs w:val="24"/>
        </w:rPr>
        <w:t>hypophyso</w:t>
      </w:r>
      <w:proofErr w:type="spellEnd"/>
      <w:r w:rsidRPr="00765EF7">
        <w:rPr>
          <w:rFonts w:asciiTheme="majorBidi" w:hAnsiTheme="majorBidi" w:cstheme="majorBidi"/>
          <w:sz w:val="24"/>
          <w:szCs w:val="24"/>
        </w:rPr>
        <w:t xml:space="preserve">-gonadique </w:t>
      </w:r>
      <w:r w:rsidRPr="00765EF7">
        <w:rPr>
          <w:rStyle w:val="hps"/>
          <w:rFonts w:asciiTheme="majorBidi" w:hAnsiTheme="majorBidi"/>
          <w:sz w:val="24"/>
          <w:szCs w:val="24"/>
        </w:rPr>
        <w:t>(</w:t>
      </w:r>
      <w:r>
        <w:rPr>
          <w:rFonts w:asciiTheme="majorBidi" w:hAnsiTheme="majorBidi" w:cstheme="majorBidi"/>
          <w:sz w:val="24"/>
          <w:szCs w:val="24"/>
        </w:rPr>
        <w:t>H</w:t>
      </w:r>
      <w:r w:rsidRPr="00DC1DBC">
        <w:rPr>
          <w:rFonts w:asciiTheme="majorBidi" w:hAnsiTheme="majorBidi" w:cstheme="majorBidi"/>
          <w:color w:val="000000" w:themeColor="text1"/>
          <w:sz w:val="24"/>
          <w:szCs w:val="24"/>
        </w:rPr>
        <w:t>H</w:t>
      </w:r>
      <w:r w:rsidRPr="00765EF7">
        <w:rPr>
          <w:rFonts w:asciiTheme="majorBidi" w:hAnsiTheme="majorBidi" w:cstheme="majorBidi"/>
          <w:sz w:val="24"/>
          <w:szCs w:val="24"/>
        </w:rPr>
        <w:t xml:space="preserve">G). La </w:t>
      </w:r>
      <w:r w:rsidRPr="00DC1DBC">
        <w:rPr>
          <w:rFonts w:asciiTheme="majorBidi" w:hAnsiTheme="majorBidi" w:cstheme="majorBidi"/>
          <w:color w:val="000000" w:themeColor="text1"/>
          <w:sz w:val="24"/>
          <w:szCs w:val="24"/>
        </w:rPr>
        <w:t>suppression des androgènes testiculaires par castration bilatérale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Fonts w:asciiTheme="majorBidi" w:hAnsiTheme="majorBidi" w:cstheme="majorBidi"/>
          <w:sz w:val="24"/>
          <w:szCs w:val="24"/>
        </w:rPr>
        <w:t xml:space="preserve"> entraine une augmentation de </w:t>
      </w:r>
      <w:r w:rsidRPr="00765EF7">
        <w:rPr>
          <w:rStyle w:val="hps"/>
          <w:rFonts w:asciiTheme="majorBidi" w:hAnsiTheme="majorBidi"/>
          <w:sz w:val="24"/>
          <w:szCs w:val="24"/>
        </w:rPr>
        <w:t>l'ACTH plasmatique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et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par la suite</w:t>
      </w:r>
      <w:r w:rsidRPr="00765EF7">
        <w:rPr>
          <w:rFonts w:asciiTheme="majorBidi" w:hAnsiTheme="majorBidi" w:cstheme="majorBidi"/>
          <w:sz w:val="24"/>
          <w:szCs w:val="24"/>
        </w:rPr>
        <w:t xml:space="preserve"> une augmentation de </w:t>
      </w:r>
      <w:r w:rsidRPr="00765EF7">
        <w:rPr>
          <w:rStyle w:val="hps"/>
          <w:rFonts w:asciiTheme="majorBidi" w:hAnsiTheme="majorBidi"/>
          <w:sz w:val="24"/>
          <w:szCs w:val="24"/>
        </w:rPr>
        <w:t>l'activité</w:t>
      </w:r>
      <w:r w:rsidRPr="00765EF7">
        <w:rPr>
          <w:rFonts w:asciiTheme="majorBidi" w:hAnsiTheme="majorBidi" w:cstheme="majorBidi"/>
          <w:sz w:val="24"/>
          <w:szCs w:val="24"/>
        </w:rPr>
        <w:t xml:space="preserve"> trophi</w:t>
      </w:r>
      <w:r w:rsidRPr="00765EF7">
        <w:rPr>
          <w:rFonts w:asciiTheme="majorBidi" w:hAnsiTheme="majorBidi" w:cstheme="majorBidi"/>
          <w:sz w:val="24"/>
          <w:szCs w:val="24"/>
          <w:lang w:bidi="ar-DZ"/>
        </w:rPr>
        <w:t>q</w:t>
      </w:r>
      <w:r w:rsidRPr="00765EF7">
        <w:rPr>
          <w:rFonts w:asciiTheme="majorBidi" w:hAnsiTheme="majorBidi" w:cstheme="majorBidi"/>
          <w:sz w:val="24"/>
          <w:szCs w:val="24"/>
        </w:rPr>
        <w:t xml:space="preserve">ue </w:t>
      </w:r>
      <w:r w:rsidRPr="00765EF7">
        <w:rPr>
          <w:rStyle w:val="hps"/>
          <w:rFonts w:asciiTheme="majorBidi" w:hAnsiTheme="majorBidi"/>
          <w:sz w:val="24"/>
          <w:szCs w:val="24"/>
        </w:rPr>
        <w:t>surrénalienne</w:t>
      </w:r>
      <w:r w:rsidRPr="00765EF7">
        <w:rPr>
          <w:rFonts w:asciiTheme="majorBidi" w:hAnsiTheme="majorBidi" w:cstheme="majorBidi"/>
          <w:sz w:val="24"/>
          <w:szCs w:val="24"/>
        </w:rPr>
        <w:t xml:space="preserve">; </w:t>
      </w:r>
      <w:r w:rsidRPr="00765EF7">
        <w:rPr>
          <w:rStyle w:val="hps"/>
          <w:rFonts w:asciiTheme="majorBidi" w:hAnsiTheme="majorBidi"/>
          <w:sz w:val="24"/>
          <w:szCs w:val="24"/>
        </w:rPr>
        <w:t>celle-ci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a été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mis</w:t>
      </w:r>
      <w:r>
        <w:rPr>
          <w:rStyle w:val="hps"/>
          <w:rFonts w:asciiTheme="majorBidi" w:hAnsiTheme="majorBidi"/>
          <w:sz w:val="24"/>
          <w:szCs w:val="24"/>
        </w:rPr>
        <w:t>e</w:t>
      </w:r>
      <w:r w:rsidRPr="00765EF7">
        <w:rPr>
          <w:rStyle w:val="hps"/>
          <w:rFonts w:asciiTheme="majorBidi" w:hAnsiTheme="majorBidi"/>
          <w:sz w:val="24"/>
          <w:szCs w:val="24"/>
        </w:rPr>
        <w:t xml:space="preserve"> en évidence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par l'hypertrophie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des glandes surrénales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 xml:space="preserve">due principalement à </w:t>
      </w:r>
      <w:r w:rsidRPr="00DC1DBC">
        <w:rPr>
          <w:rStyle w:val="hps"/>
          <w:rFonts w:asciiTheme="majorBidi" w:hAnsiTheme="majorBidi"/>
          <w:color w:val="000000" w:themeColor="text1"/>
          <w:sz w:val="24"/>
          <w:szCs w:val="24"/>
        </w:rPr>
        <w:t>celle de la zone réticulée et à</w:t>
      </w:r>
      <w:r>
        <w:rPr>
          <w:rStyle w:val="hps"/>
          <w:rFonts w:asciiTheme="majorBidi" w:hAnsi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l’élévation du rapport ARN/ADN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et à l’augmentation</w:t>
      </w:r>
      <w:r w:rsidRPr="00765EF7">
        <w:rPr>
          <w:rFonts w:asciiTheme="majorBidi" w:hAnsiTheme="majorBidi" w:cstheme="majorBidi"/>
          <w:sz w:val="24"/>
          <w:szCs w:val="24"/>
        </w:rPr>
        <w:t xml:space="preserve"> des teneurs </w:t>
      </w:r>
      <w:proofErr w:type="spellStart"/>
      <w:r w:rsidRPr="00765EF7">
        <w:rPr>
          <w:rFonts w:asciiTheme="majorBidi" w:hAnsiTheme="majorBidi" w:cstheme="majorBidi"/>
          <w:sz w:val="24"/>
          <w:szCs w:val="24"/>
        </w:rPr>
        <w:t>corticosurrénalienne</w:t>
      </w:r>
      <w:r>
        <w:rPr>
          <w:rFonts w:asciiTheme="majorBidi" w:hAnsiTheme="majorBidi" w:cstheme="majorBidi"/>
          <w:sz w:val="24"/>
          <w:szCs w:val="24"/>
        </w:rPr>
        <w:t>s</w:t>
      </w:r>
      <w:proofErr w:type="spellEnd"/>
      <w:r w:rsidRPr="00765EF7">
        <w:rPr>
          <w:rFonts w:asciiTheme="majorBidi" w:hAnsiTheme="majorBidi" w:cstheme="majorBidi"/>
          <w:sz w:val="24"/>
          <w:szCs w:val="24"/>
        </w:rPr>
        <w:t xml:space="preserve"> en </w:t>
      </w:r>
      <w:r w:rsidRPr="00765EF7">
        <w:rPr>
          <w:rStyle w:val="hps"/>
          <w:rFonts w:asciiTheme="majorBidi" w:hAnsiTheme="majorBidi"/>
          <w:sz w:val="24"/>
          <w:szCs w:val="24"/>
        </w:rPr>
        <w:t>cholestérol et en lipides. En outre,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la privation androgénique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augmente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 xml:space="preserve">l'indice </w:t>
      </w:r>
      <w:proofErr w:type="spellStart"/>
      <w:r w:rsidRPr="00765EF7">
        <w:rPr>
          <w:rStyle w:val="hps"/>
          <w:rFonts w:asciiTheme="majorBidi" w:hAnsiTheme="majorBidi"/>
          <w:sz w:val="24"/>
          <w:szCs w:val="24"/>
        </w:rPr>
        <w:t>apoptotique</w:t>
      </w:r>
      <w:proofErr w:type="spellEnd"/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dans la zone fasciculée</w:t>
      </w:r>
      <w:r w:rsidRPr="00765EF7">
        <w:rPr>
          <w:rFonts w:asciiTheme="majorBidi" w:hAnsiTheme="majorBidi" w:cstheme="majorBidi"/>
          <w:sz w:val="24"/>
          <w:szCs w:val="24"/>
        </w:rPr>
        <w:t xml:space="preserve"> alors qu’il diminue dans la </w:t>
      </w:r>
      <w:r w:rsidRPr="00765EF7">
        <w:rPr>
          <w:rStyle w:val="hps"/>
          <w:rFonts w:asciiTheme="majorBidi" w:hAnsiTheme="majorBidi"/>
          <w:sz w:val="24"/>
          <w:szCs w:val="24"/>
        </w:rPr>
        <w:t>zone réticulée</w:t>
      </w:r>
      <w:r w:rsidRPr="00765EF7">
        <w:rPr>
          <w:rFonts w:asciiTheme="majorBidi" w:hAnsiTheme="majorBidi" w:cstheme="majorBidi"/>
          <w:sz w:val="24"/>
          <w:szCs w:val="24"/>
        </w:rPr>
        <w:t xml:space="preserve">. Chez le rat des sables </w:t>
      </w:r>
      <w:proofErr w:type="gramStart"/>
      <w:r w:rsidRPr="00765EF7">
        <w:rPr>
          <w:rFonts w:asciiTheme="majorBidi" w:hAnsiTheme="majorBidi" w:cstheme="majorBidi"/>
          <w:sz w:val="24"/>
          <w:szCs w:val="24"/>
        </w:rPr>
        <w:t>témoin</w:t>
      </w:r>
      <w:proofErr w:type="gramEnd"/>
      <w:r w:rsidRPr="00765EF7">
        <w:rPr>
          <w:rFonts w:asciiTheme="majorBidi" w:hAnsiTheme="majorBidi" w:cstheme="majorBidi"/>
          <w:sz w:val="24"/>
          <w:szCs w:val="24"/>
        </w:rPr>
        <w:t>, l’</w:t>
      </w:r>
      <w:proofErr w:type="spellStart"/>
      <w:r w:rsidRPr="00765EF7">
        <w:rPr>
          <w:rFonts w:asciiTheme="majorBidi" w:hAnsiTheme="majorBidi" w:cstheme="majorBidi"/>
          <w:sz w:val="24"/>
          <w:szCs w:val="24"/>
        </w:rPr>
        <w:t>immunoréactivité</w:t>
      </w:r>
      <w:proofErr w:type="spellEnd"/>
      <w:r w:rsidRPr="00765EF7">
        <w:rPr>
          <w:rFonts w:asciiTheme="majorBidi" w:hAnsiTheme="majorBidi" w:cstheme="majorBidi"/>
          <w:sz w:val="24"/>
          <w:szCs w:val="24"/>
        </w:rPr>
        <w:t xml:space="preserve"> des récepteurs aux androgènes est plus importante dans les zones les plus externes du cortex surrénal principalement dans la zone </w:t>
      </w:r>
      <w:proofErr w:type="spellStart"/>
      <w:r w:rsidRPr="00765EF7">
        <w:rPr>
          <w:rFonts w:asciiTheme="majorBidi" w:hAnsiTheme="majorBidi" w:cstheme="majorBidi"/>
          <w:sz w:val="24"/>
          <w:szCs w:val="24"/>
        </w:rPr>
        <w:t>glomérulée</w:t>
      </w:r>
      <w:proofErr w:type="spellEnd"/>
      <w:r w:rsidRPr="00765EF7">
        <w:rPr>
          <w:rFonts w:asciiTheme="majorBidi" w:hAnsiTheme="majorBidi" w:cstheme="majorBidi"/>
          <w:sz w:val="24"/>
          <w:szCs w:val="24"/>
        </w:rPr>
        <w:t xml:space="preserve"> et fasciculée. Néanmoins la privation d’androgènes testiculaires induit une augmentation de l'intensité du marquage dans la zone fasciculée. Par ailleurs le traitement androgénique à la testostérone, restaure la majorité d</w:t>
      </w:r>
      <w:r w:rsidRPr="00765EF7">
        <w:rPr>
          <w:rStyle w:val="hps"/>
          <w:rFonts w:asciiTheme="majorBidi" w:hAnsiTheme="majorBidi"/>
          <w:sz w:val="24"/>
          <w:szCs w:val="24"/>
        </w:rPr>
        <w:t>es réponses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cellulaires et biochimiques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induites par</w:t>
      </w:r>
      <w:r w:rsidRPr="00765EF7">
        <w:rPr>
          <w:rFonts w:asciiTheme="majorBidi" w:hAnsiTheme="majorBidi" w:cstheme="majorBidi"/>
          <w:sz w:val="24"/>
          <w:szCs w:val="24"/>
        </w:rPr>
        <w:t xml:space="preserve"> l’</w:t>
      </w:r>
      <w:proofErr w:type="spellStart"/>
      <w:r w:rsidRPr="00765EF7">
        <w:rPr>
          <w:rStyle w:val="hps"/>
          <w:rFonts w:asciiTheme="majorBidi" w:hAnsiTheme="majorBidi"/>
          <w:sz w:val="24"/>
          <w:szCs w:val="24"/>
        </w:rPr>
        <w:t>orchiectomie</w:t>
      </w:r>
      <w:proofErr w:type="spellEnd"/>
      <w:r w:rsidRPr="00765EF7">
        <w:rPr>
          <w:rStyle w:val="hps"/>
          <w:rFonts w:asciiTheme="majorBidi" w:hAnsiTheme="majorBidi"/>
          <w:sz w:val="24"/>
          <w:szCs w:val="24"/>
        </w:rPr>
        <w:t xml:space="preserve"> </w:t>
      </w:r>
      <w:r w:rsidRPr="00765EF7">
        <w:rPr>
          <w:rFonts w:asciiTheme="majorBidi" w:hAnsiTheme="majorBidi" w:cstheme="majorBidi"/>
          <w:sz w:val="24"/>
          <w:szCs w:val="24"/>
        </w:rPr>
        <w:t xml:space="preserve">à </w:t>
      </w:r>
      <w:r>
        <w:rPr>
          <w:rFonts w:asciiTheme="majorBidi" w:hAnsiTheme="majorBidi" w:cstheme="majorBidi"/>
          <w:sz w:val="24"/>
          <w:szCs w:val="24"/>
        </w:rPr>
        <w:t xml:space="preserve">l’état des animaux témoins. </w:t>
      </w:r>
      <w:r w:rsidRPr="00765EF7">
        <w:rPr>
          <w:rFonts w:asciiTheme="majorBidi" w:hAnsiTheme="majorBidi" w:cstheme="majorBidi"/>
          <w:sz w:val="24"/>
          <w:szCs w:val="24"/>
        </w:rPr>
        <w:t xml:space="preserve">En conclusion, le rat des sables </w:t>
      </w:r>
      <w:proofErr w:type="spellStart"/>
      <w:r w:rsidRPr="00765EF7">
        <w:rPr>
          <w:rFonts w:asciiTheme="majorBidi" w:hAnsiTheme="majorBidi" w:cstheme="majorBidi"/>
          <w:i/>
          <w:iCs/>
          <w:sz w:val="24"/>
          <w:szCs w:val="24"/>
        </w:rPr>
        <w:t>Psammomys</w:t>
      </w:r>
      <w:proofErr w:type="spellEnd"/>
      <w:r w:rsidRPr="00765EF7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765EF7">
        <w:rPr>
          <w:rFonts w:asciiTheme="majorBidi" w:hAnsiTheme="majorBidi" w:cstheme="majorBidi"/>
          <w:i/>
          <w:iCs/>
          <w:sz w:val="24"/>
          <w:szCs w:val="24"/>
        </w:rPr>
        <w:t>obesus</w:t>
      </w:r>
      <w:proofErr w:type="spellEnd"/>
      <w:r w:rsidRPr="00765EF7">
        <w:rPr>
          <w:rFonts w:asciiTheme="majorBidi" w:hAnsiTheme="majorBidi" w:cstheme="majorBidi"/>
          <w:sz w:val="24"/>
          <w:szCs w:val="24"/>
        </w:rPr>
        <w:t xml:space="preserve">, </w:t>
      </w:r>
      <w:r w:rsidRPr="00DC1DBC">
        <w:rPr>
          <w:rFonts w:asciiTheme="majorBidi" w:hAnsiTheme="majorBidi" w:cstheme="majorBidi"/>
          <w:color w:val="000000" w:themeColor="text1"/>
          <w:sz w:val="24"/>
          <w:szCs w:val="24"/>
        </w:rPr>
        <w:t>constitue un excellent modèle pour étudier l'action réciproque des androgènes sur la fonction d</w:t>
      </w:r>
      <w:r w:rsidRPr="00765EF7">
        <w:rPr>
          <w:rFonts w:asciiTheme="majorBidi" w:hAnsiTheme="majorBidi" w:cstheme="majorBidi"/>
          <w:sz w:val="24"/>
          <w:szCs w:val="24"/>
        </w:rPr>
        <w:t>u cortex surrénal.</w:t>
      </w:r>
    </w:p>
    <w:p w:rsidR="00805ED2" w:rsidRDefault="00805ED2" w:rsidP="00805ED2">
      <w:pPr>
        <w:spacing w:after="0"/>
        <w:ind w:left="1276" w:hanging="1276"/>
        <w:jc w:val="both"/>
        <w:rPr>
          <w:rFonts w:asciiTheme="majorBidi" w:hAnsiTheme="majorBidi" w:cstheme="majorBidi"/>
          <w:sz w:val="24"/>
          <w:szCs w:val="24"/>
        </w:rPr>
      </w:pPr>
    </w:p>
    <w:p w:rsidR="00805ED2" w:rsidRDefault="00805ED2" w:rsidP="00805ED2">
      <w:pPr>
        <w:spacing w:after="0"/>
        <w:ind w:left="1276" w:hanging="1276"/>
        <w:jc w:val="both"/>
        <w:rPr>
          <w:rStyle w:val="hps"/>
          <w:rFonts w:asciiTheme="majorBidi" w:hAnsiTheme="majorBidi"/>
          <w:sz w:val="24"/>
          <w:szCs w:val="24"/>
        </w:rPr>
      </w:pPr>
      <w:r w:rsidRPr="00073510">
        <w:rPr>
          <w:rStyle w:val="hps"/>
          <w:rFonts w:asciiTheme="majorBidi" w:hAnsiTheme="majorBidi"/>
          <w:b/>
          <w:bCs/>
          <w:sz w:val="24"/>
          <w:szCs w:val="24"/>
        </w:rPr>
        <w:t>Mots clés</w:t>
      </w:r>
      <w:r w:rsidRPr="00073510">
        <w:rPr>
          <w:rFonts w:asciiTheme="majorBidi" w:hAnsiTheme="majorBidi" w:cstheme="majorBidi"/>
          <w:b/>
          <w:bCs/>
          <w:sz w:val="24"/>
          <w:szCs w:val="24"/>
        </w:rPr>
        <w:t> :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Récepteurs aux androgènes,</w:t>
      </w:r>
      <w:r w:rsidRPr="00765EF7">
        <w:rPr>
          <w:rFonts w:asciiTheme="majorBidi" w:hAnsiTheme="majorBidi" w:cstheme="majorBidi"/>
          <w:sz w:val="24"/>
          <w:szCs w:val="24"/>
        </w:rPr>
        <w:t xml:space="preserve"> </w:t>
      </w:r>
      <w:r w:rsidRPr="00765EF7">
        <w:rPr>
          <w:rStyle w:val="hps"/>
          <w:rFonts w:asciiTheme="majorBidi" w:hAnsiTheme="majorBidi"/>
          <w:sz w:val="24"/>
          <w:szCs w:val="24"/>
        </w:rPr>
        <w:t>cortex surrénal, testostérone</w:t>
      </w:r>
      <w:r w:rsidRPr="00765EF7">
        <w:rPr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Pr="00765EF7">
        <w:rPr>
          <w:rFonts w:asciiTheme="majorBidi" w:hAnsiTheme="majorBidi" w:cstheme="majorBidi"/>
          <w:sz w:val="24"/>
          <w:szCs w:val="24"/>
        </w:rPr>
        <w:t>a</w:t>
      </w:r>
      <w:r w:rsidRPr="00765EF7">
        <w:rPr>
          <w:rStyle w:val="hps"/>
          <w:rFonts w:asciiTheme="majorBidi" w:hAnsiTheme="majorBidi"/>
          <w:sz w:val="24"/>
          <w:szCs w:val="24"/>
        </w:rPr>
        <w:t>poptose</w:t>
      </w:r>
      <w:proofErr w:type="spellEnd"/>
      <w:r w:rsidRPr="00765EF7">
        <w:rPr>
          <w:rStyle w:val="hps"/>
          <w:rFonts w:asciiTheme="majorBidi" w:hAnsiTheme="majorBidi"/>
          <w:sz w:val="24"/>
          <w:szCs w:val="24"/>
        </w:rPr>
        <w:t>, rat des sables</w:t>
      </w:r>
    </w:p>
    <w:p w:rsidR="00CA4939" w:rsidRDefault="007743C9"/>
    <w:sectPr w:rsidR="00CA4939" w:rsidSect="00433E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05ED2"/>
    <w:rsid w:val="003F23E1"/>
    <w:rsid w:val="00433ECF"/>
    <w:rsid w:val="00756A26"/>
    <w:rsid w:val="007743C9"/>
    <w:rsid w:val="00805ED2"/>
    <w:rsid w:val="00916F85"/>
    <w:rsid w:val="00986A4E"/>
    <w:rsid w:val="00DA6F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5ED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805ED2"/>
  </w:style>
  <w:style w:type="table" w:customStyle="1" w:styleId="Grilledutableau1">
    <w:name w:val="Grille du tableau1"/>
    <w:basedOn w:val="TableauNormal"/>
    <w:uiPriority w:val="59"/>
    <w:rsid w:val="00805ED2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rilledutableau">
    <w:name w:val="Table Grid"/>
    <w:basedOn w:val="TableauNormal"/>
    <w:uiPriority w:val="59"/>
    <w:rsid w:val="00805ED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tn">
    <w:name w:val="atn"/>
    <w:basedOn w:val="Policepardfaut"/>
    <w:rsid w:val="00805ED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275</Words>
  <Characters>1516</Characters>
  <Application>Microsoft Office Word</Application>
  <DocSecurity>0</DocSecurity>
  <Lines>12</Lines>
  <Paragraphs>3</Paragraphs>
  <ScaleCrop>false</ScaleCrop>
  <Company/>
  <LinksUpToDate>false</LinksUpToDate>
  <CharactersWithSpaces>1788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azerty</dc:creator>
  <cp:lastModifiedBy>azerty</cp:lastModifiedBy>
  <cp:revision>2</cp:revision>
  <dcterms:created xsi:type="dcterms:W3CDTF">2015-03-02T17:22:00Z</dcterms:created>
  <dcterms:modified xsi:type="dcterms:W3CDTF">2015-03-02T17:22:00Z</dcterms:modified>
</cp:coreProperties>
</file>